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E3C1" w14:textId="2606F9C4" w:rsidR="00B12F32" w:rsidRPr="00B12F32" w:rsidRDefault="00B12F32" w:rsidP="00B12F32">
      <w:pPr>
        <w:spacing w:before="120" w:after="240" w:line="240" w:lineRule="auto"/>
        <w:jc w:val="center"/>
        <w:rPr>
          <w:rFonts w:asciiTheme="minorHAnsi" w:hAnsiTheme="minorHAnsi" w:cstheme="minorHAnsi"/>
          <w:b/>
          <w:bCs/>
          <w:sz w:val="32"/>
          <w:szCs w:val="32"/>
        </w:rPr>
      </w:pPr>
      <w:r w:rsidRPr="00B12F32">
        <w:rPr>
          <w:rFonts w:asciiTheme="minorHAnsi" w:hAnsiTheme="minorHAnsi" w:cstheme="minorHAnsi"/>
          <w:b/>
          <w:bCs/>
          <w:sz w:val="32"/>
          <w:szCs w:val="32"/>
        </w:rPr>
        <w:t xml:space="preserve">Green </w:t>
      </w:r>
      <w:r w:rsidRPr="00B12F32">
        <w:rPr>
          <w:rFonts w:asciiTheme="minorHAnsi" w:hAnsiTheme="minorHAnsi" w:cstheme="minorHAnsi"/>
          <w:b/>
          <w:bCs/>
          <w:sz w:val="32"/>
          <w:szCs w:val="32"/>
        </w:rPr>
        <w:t>innovation ecosystem governance in higher education</w:t>
      </w:r>
      <w:r w:rsidRPr="00B12F32">
        <w:rPr>
          <w:rFonts w:asciiTheme="minorHAnsi" w:hAnsiTheme="minorHAnsi" w:cstheme="minorHAnsi"/>
          <w:b/>
          <w:bCs/>
          <w:sz w:val="32"/>
          <w:szCs w:val="32"/>
        </w:rPr>
        <w:t>:</w:t>
      </w:r>
      <w:r w:rsidRPr="00B12F32">
        <w:rPr>
          <w:rFonts w:asciiTheme="minorHAnsi" w:hAnsiTheme="minorHAnsi" w:cstheme="minorHAnsi"/>
          <w:b/>
          <w:bCs/>
          <w:sz w:val="32"/>
          <w:szCs w:val="32"/>
          <w:lang w:val="en-US"/>
        </w:rPr>
        <w:t xml:space="preserve"> </w:t>
      </w:r>
      <w:r w:rsidRPr="00B12F32">
        <w:rPr>
          <w:rFonts w:asciiTheme="minorHAnsi" w:hAnsiTheme="minorHAnsi" w:cstheme="minorHAnsi"/>
          <w:b/>
          <w:bCs/>
          <w:sz w:val="32"/>
          <w:szCs w:val="32"/>
        </w:rPr>
        <w:t xml:space="preserve">Lessons from Wageningen University &amp; Research and </w:t>
      </w:r>
      <w:r>
        <w:rPr>
          <w:rFonts w:asciiTheme="minorHAnsi" w:hAnsiTheme="minorHAnsi" w:cstheme="minorHAnsi"/>
          <w:b/>
          <w:bCs/>
          <w:sz w:val="32"/>
          <w:szCs w:val="32"/>
          <w:lang w:val="en-US"/>
        </w:rPr>
        <w:t>i</w:t>
      </w:r>
      <w:r w:rsidRPr="00B12F32">
        <w:rPr>
          <w:rFonts w:asciiTheme="minorHAnsi" w:hAnsiTheme="minorHAnsi" w:cstheme="minorHAnsi"/>
          <w:b/>
          <w:bCs/>
          <w:sz w:val="32"/>
          <w:szCs w:val="32"/>
        </w:rPr>
        <w:t>mplications for Vietnam</w:t>
      </w:r>
    </w:p>
    <w:p w14:paraId="1AE826D5" w14:textId="73CA0C2F" w:rsidR="00B12F32" w:rsidRPr="00B12F32" w:rsidRDefault="00B12F32" w:rsidP="00B12F32">
      <w:pPr>
        <w:spacing w:before="120" w:after="120" w:line="240" w:lineRule="auto"/>
        <w:jc w:val="center"/>
        <w:rPr>
          <w:rFonts w:cs="Times New Roman"/>
          <w:sz w:val="24"/>
          <w:szCs w:val="24"/>
          <w:lang w:val="en-US"/>
        </w:rPr>
      </w:pPr>
      <w:r w:rsidRPr="00B12F32">
        <w:rPr>
          <w:rFonts w:cs="Times New Roman"/>
          <w:b/>
          <w:bCs/>
          <w:sz w:val="24"/>
          <w:szCs w:val="24"/>
          <w:lang w:val="en-US"/>
        </w:rPr>
        <w:t>Pham Van Thinh</w:t>
      </w:r>
      <w:r w:rsidRPr="00B12F32">
        <w:rPr>
          <w:rFonts w:cs="Times New Roman"/>
          <w:sz w:val="24"/>
          <w:szCs w:val="24"/>
          <w:vertAlign w:val="superscript"/>
          <w:lang w:val="en-US"/>
        </w:rPr>
        <w:t>1</w:t>
      </w:r>
      <w:r>
        <w:rPr>
          <w:rStyle w:val="FootnoteReference"/>
          <w:rFonts w:cs="Times New Roman"/>
          <w:sz w:val="24"/>
          <w:szCs w:val="24"/>
          <w:lang w:val="en-US"/>
        </w:rPr>
        <w:footnoteReference w:customMarkFollows="1" w:id="1"/>
        <w:t>*</w:t>
      </w:r>
    </w:p>
    <w:p w14:paraId="50E85D52" w14:textId="710B1923" w:rsidR="00B12F32" w:rsidRPr="00B12F32" w:rsidRDefault="00B12F32" w:rsidP="00B12F32">
      <w:pPr>
        <w:spacing w:before="120" w:after="120" w:line="240" w:lineRule="auto"/>
        <w:jc w:val="center"/>
        <w:rPr>
          <w:b/>
          <w:bCs/>
          <w:i/>
          <w:iCs/>
          <w:sz w:val="24"/>
          <w:szCs w:val="24"/>
        </w:rPr>
      </w:pPr>
      <w:r w:rsidRPr="00B12F32">
        <w:rPr>
          <w:i/>
          <w:iCs/>
          <w:sz w:val="24"/>
          <w:szCs w:val="24"/>
        </w:rPr>
        <w:t>Library and Learning Resources Department</w:t>
      </w:r>
      <w:r w:rsidRPr="00B12F32">
        <w:rPr>
          <w:i/>
          <w:iCs/>
          <w:sz w:val="24"/>
          <w:szCs w:val="24"/>
          <w:lang w:val="en-US"/>
        </w:rPr>
        <w:t>,</w:t>
      </w:r>
      <w:r w:rsidRPr="00B12F32">
        <w:rPr>
          <w:rFonts w:cs="Times New Roman"/>
          <w:i/>
          <w:iCs/>
          <w:sz w:val="24"/>
          <w:szCs w:val="24"/>
          <w:lang w:val="en-US"/>
        </w:rPr>
        <w:t xml:space="preserve"> </w:t>
      </w:r>
      <w:r w:rsidRPr="00B12F32">
        <w:rPr>
          <w:rFonts w:cs="Times New Roman"/>
          <w:i/>
          <w:iCs/>
          <w:sz w:val="24"/>
          <w:szCs w:val="24"/>
          <w:lang w:val="en-US"/>
        </w:rPr>
        <w:t>Thu Dau Mot University, Viet Nam</w:t>
      </w:r>
    </w:p>
    <w:p w14:paraId="7D50F684" w14:textId="77777777" w:rsidR="00B12F32" w:rsidRDefault="00B12F32" w:rsidP="00B12F32">
      <w:pPr>
        <w:spacing w:before="120" w:after="120" w:line="240" w:lineRule="auto"/>
        <w:jc w:val="both"/>
        <w:rPr>
          <w:sz w:val="24"/>
          <w:szCs w:val="24"/>
        </w:rPr>
      </w:pPr>
    </w:p>
    <w:p w14:paraId="260E1D17" w14:textId="0194E270" w:rsidR="00B12F32" w:rsidRPr="00B12F32" w:rsidRDefault="00B12F32" w:rsidP="00B12F32">
      <w:pPr>
        <w:spacing w:before="120" w:after="120" w:line="240" w:lineRule="auto"/>
        <w:jc w:val="both"/>
        <w:rPr>
          <w:b/>
          <w:bCs/>
          <w:sz w:val="22"/>
        </w:rPr>
      </w:pPr>
      <w:r w:rsidRPr="00B12F32">
        <w:rPr>
          <w:b/>
          <w:bCs/>
          <w:sz w:val="22"/>
        </w:rPr>
        <w:t>ABSTRACT</w:t>
      </w:r>
    </w:p>
    <w:p w14:paraId="067ECE01" w14:textId="5F643A38" w:rsidR="00B12F32" w:rsidRPr="00B12F32" w:rsidRDefault="00B12F32" w:rsidP="00B12F32">
      <w:pPr>
        <w:spacing w:before="120" w:after="120" w:line="240" w:lineRule="auto"/>
        <w:ind w:firstLine="567"/>
        <w:jc w:val="both"/>
        <w:rPr>
          <w:sz w:val="20"/>
          <w:szCs w:val="20"/>
        </w:rPr>
      </w:pPr>
      <w:r w:rsidRPr="00B12F32">
        <w:rPr>
          <w:sz w:val="20"/>
          <w:szCs w:val="20"/>
        </w:rPr>
        <w:t>This paper examines the governance model of a green innovation ecosystem at Wageningen University &amp; Research in order to elucidate how a research university can redefine and restructure its institutional role in the era of sustainable development. Employing a qualitative case study approach and content analysis of strategic documents, sustainability reports, and relevant academic literature, the study analyzes Wageningen University &amp; Research through three analytical dimensions: mission orientation, organizational design, and data-driven operational mechanisms.</w:t>
      </w:r>
      <w:r w:rsidRPr="00B12F32">
        <w:rPr>
          <w:sz w:val="20"/>
          <w:szCs w:val="20"/>
          <w:lang w:val="en-US"/>
        </w:rPr>
        <w:t xml:space="preserve"> </w:t>
      </w:r>
      <w:r w:rsidRPr="00B12F32">
        <w:rPr>
          <w:sz w:val="20"/>
          <w:szCs w:val="20"/>
        </w:rPr>
        <w:t>The findings indicate that: (i) sustainable development has been institutionalized as a long-term strategic mission, with the integration of the 2030 Agenda for Sustainable Development into institutional indicators and reporting systems; (ii) the “chair group” model provides a flexible and interdisciplinary structure that closely connects research, education, and societal engagement; and (iii) digital transformation, together with the Wageningen campus ecosystem, forms an open innovation platform that fosters collaboration among university, industry, and government actors.</w:t>
      </w:r>
      <w:r w:rsidRPr="00B12F32">
        <w:rPr>
          <w:sz w:val="20"/>
          <w:szCs w:val="20"/>
          <w:lang w:val="en-US"/>
        </w:rPr>
        <w:t xml:space="preserve"> </w:t>
      </w:r>
      <w:r w:rsidRPr="00B12F32">
        <w:rPr>
          <w:sz w:val="20"/>
          <w:szCs w:val="20"/>
        </w:rPr>
        <w:t>Drawing on the Wageningen University &amp; Research case, the paper discusses implications for Vietnam in the context of implementing Politburo Resolutions No. 57 and No. 71. It emphasizes the need for a transition toward mission-oriented universities, strengthened institutional autonomy accompanied by accountability, and data-driven governance as key pillars for advancing sustainable higher education reform.</w:t>
      </w:r>
    </w:p>
    <w:p w14:paraId="231A5428" w14:textId="10123AB9" w:rsidR="00B12F32" w:rsidRPr="00B12F32" w:rsidRDefault="00B12F32" w:rsidP="00B12F32">
      <w:pPr>
        <w:spacing w:before="120" w:after="120" w:line="240" w:lineRule="auto"/>
        <w:jc w:val="both"/>
        <w:rPr>
          <w:sz w:val="20"/>
          <w:szCs w:val="20"/>
          <w:lang w:val="en-US"/>
        </w:rPr>
      </w:pPr>
      <w:r w:rsidRPr="00B12F32">
        <w:rPr>
          <w:b/>
          <w:bCs/>
          <w:sz w:val="20"/>
          <w:szCs w:val="20"/>
          <w:lang w:val="en-US"/>
        </w:rPr>
        <w:t>Keywords</w:t>
      </w:r>
      <w:r w:rsidRPr="00B12F32">
        <w:rPr>
          <w:sz w:val="20"/>
          <w:szCs w:val="20"/>
          <w:lang w:val="en-US"/>
        </w:rPr>
        <w:t xml:space="preserve">: </w:t>
      </w:r>
      <w:r w:rsidRPr="00B12F32">
        <w:rPr>
          <w:sz w:val="20"/>
          <w:szCs w:val="20"/>
        </w:rPr>
        <w:t>Digital transformation</w:t>
      </w:r>
      <w:r w:rsidRPr="00B12F32">
        <w:rPr>
          <w:sz w:val="20"/>
          <w:szCs w:val="20"/>
          <w:lang w:val="en-US"/>
        </w:rPr>
        <w:t xml:space="preserve">, </w:t>
      </w:r>
      <w:r w:rsidRPr="00B12F32">
        <w:rPr>
          <w:sz w:val="20"/>
          <w:szCs w:val="20"/>
        </w:rPr>
        <w:t>Green innovation</w:t>
      </w:r>
      <w:r w:rsidRPr="00B12F32">
        <w:rPr>
          <w:sz w:val="20"/>
          <w:szCs w:val="20"/>
          <w:lang w:val="en-US"/>
        </w:rPr>
        <w:t xml:space="preserve">, </w:t>
      </w:r>
      <w:r w:rsidRPr="00B12F32">
        <w:rPr>
          <w:sz w:val="20"/>
          <w:szCs w:val="20"/>
        </w:rPr>
        <w:t>Mission-oriented university</w:t>
      </w:r>
      <w:r w:rsidRPr="00B12F32">
        <w:rPr>
          <w:sz w:val="20"/>
          <w:szCs w:val="20"/>
          <w:lang w:val="en-US"/>
        </w:rPr>
        <w:t xml:space="preserve">, </w:t>
      </w:r>
      <w:r w:rsidRPr="00A356E7">
        <w:rPr>
          <w:rStyle w:val="Emphasis"/>
          <w:i w:val="0"/>
          <w:iCs w:val="0"/>
          <w:sz w:val="20"/>
          <w:szCs w:val="20"/>
        </w:rPr>
        <w:t>University governance</w:t>
      </w:r>
    </w:p>
    <w:p w14:paraId="7952A7F9" w14:textId="77777777" w:rsidR="00B12F32" w:rsidRDefault="00B12F32">
      <w:pPr>
        <w:rPr>
          <w:rFonts w:asciiTheme="minorHAnsi" w:hAnsiTheme="minorHAnsi" w:cstheme="minorHAnsi"/>
          <w:b/>
          <w:bCs/>
          <w:sz w:val="32"/>
          <w:szCs w:val="32"/>
        </w:rPr>
      </w:pPr>
      <w:r>
        <w:rPr>
          <w:rFonts w:asciiTheme="minorHAnsi" w:hAnsiTheme="minorHAnsi" w:cstheme="minorHAnsi"/>
          <w:b/>
          <w:bCs/>
          <w:sz w:val="32"/>
          <w:szCs w:val="32"/>
        </w:rPr>
        <w:br w:type="page"/>
      </w:r>
    </w:p>
    <w:p w14:paraId="2DA3AEA2" w14:textId="0BCBE51A" w:rsidR="00D23B84" w:rsidRPr="006E3901" w:rsidRDefault="006E3901" w:rsidP="00B12F32">
      <w:pPr>
        <w:spacing w:before="120" w:after="240"/>
        <w:jc w:val="center"/>
        <w:rPr>
          <w:rFonts w:asciiTheme="minorHAnsi" w:hAnsiTheme="minorHAnsi" w:cstheme="minorHAnsi"/>
          <w:b/>
          <w:bCs/>
          <w:sz w:val="32"/>
          <w:szCs w:val="32"/>
        </w:rPr>
      </w:pPr>
      <w:r w:rsidRPr="006E3901">
        <w:rPr>
          <w:rFonts w:asciiTheme="minorHAnsi" w:hAnsiTheme="minorHAnsi" w:cstheme="minorHAnsi"/>
          <w:b/>
          <w:bCs/>
          <w:sz w:val="32"/>
          <w:szCs w:val="32"/>
        </w:rPr>
        <w:lastRenderedPageBreak/>
        <w:t xml:space="preserve">Quản trị hệ sinh thái đổi mới xanh trong giáo dục đại học: Kinh nghiệm từ Đại học </w:t>
      </w:r>
      <w:r w:rsidR="00B12F32">
        <w:rPr>
          <w:rFonts w:asciiTheme="minorHAnsi" w:hAnsiTheme="minorHAnsi" w:cstheme="minorHAnsi"/>
          <w:b/>
          <w:bCs/>
          <w:sz w:val="32"/>
          <w:szCs w:val="32"/>
          <w:lang w:val="en-US"/>
        </w:rPr>
        <w:t>N</w:t>
      </w:r>
      <w:r w:rsidRPr="006E3901">
        <w:rPr>
          <w:rFonts w:asciiTheme="minorHAnsi" w:hAnsiTheme="minorHAnsi" w:cstheme="minorHAnsi"/>
          <w:b/>
          <w:bCs/>
          <w:sz w:val="32"/>
          <w:szCs w:val="32"/>
        </w:rPr>
        <w:t>ghiên cứu Wageningen và hàm ý cho Việt Nam</w:t>
      </w:r>
    </w:p>
    <w:p w14:paraId="111DE290" w14:textId="76905380" w:rsidR="000F4C16" w:rsidRPr="006E3901" w:rsidRDefault="006E3901" w:rsidP="00B12F32">
      <w:pPr>
        <w:spacing w:before="120" w:after="120" w:line="240" w:lineRule="auto"/>
        <w:jc w:val="center"/>
        <w:rPr>
          <w:rFonts w:cs="Times New Roman"/>
          <w:b/>
          <w:bCs/>
          <w:sz w:val="24"/>
          <w:szCs w:val="24"/>
          <w:vertAlign w:val="superscript"/>
          <w:lang w:val="en-US"/>
        </w:rPr>
      </w:pPr>
      <w:r w:rsidRPr="006E3901">
        <w:rPr>
          <w:rFonts w:cs="Times New Roman"/>
          <w:b/>
          <w:bCs/>
          <w:sz w:val="24"/>
          <w:szCs w:val="24"/>
          <w:lang w:val="en-US"/>
        </w:rPr>
        <w:t>Phạm Văn Thịnh</w:t>
      </w:r>
      <w:r>
        <w:rPr>
          <w:rFonts w:cs="Times New Roman"/>
          <w:b/>
          <w:bCs/>
          <w:sz w:val="24"/>
          <w:szCs w:val="24"/>
          <w:vertAlign w:val="superscript"/>
          <w:lang w:val="en-US"/>
        </w:rPr>
        <w:t>1</w:t>
      </w:r>
      <w:r>
        <w:rPr>
          <w:rStyle w:val="FootnoteReference"/>
          <w:rFonts w:cs="Times New Roman"/>
          <w:b/>
          <w:bCs/>
          <w:sz w:val="24"/>
          <w:szCs w:val="24"/>
          <w:lang w:val="en-US"/>
        </w:rPr>
        <w:footnoteReference w:customMarkFollows="1" w:id="2"/>
        <w:t>*</w:t>
      </w:r>
    </w:p>
    <w:p w14:paraId="067A8D8E" w14:textId="4EE14EB2" w:rsidR="006E3901" w:rsidRPr="006E3901" w:rsidRDefault="006E3901" w:rsidP="00B12F32">
      <w:pPr>
        <w:spacing w:before="120" w:after="120" w:line="240" w:lineRule="auto"/>
        <w:jc w:val="center"/>
        <w:rPr>
          <w:rFonts w:cs="Times New Roman"/>
          <w:i/>
          <w:iCs/>
          <w:sz w:val="24"/>
          <w:szCs w:val="24"/>
          <w:lang w:val="en-US"/>
        </w:rPr>
      </w:pPr>
      <w:r w:rsidRPr="006E3901">
        <w:rPr>
          <w:rFonts w:cs="Times New Roman"/>
          <w:i/>
          <w:iCs/>
          <w:sz w:val="24"/>
          <w:szCs w:val="24"/>
          <w:lang w:val="en-US"/>
        </w:rPr>
        <w:t>Ban Thư viện và Học liệu, Trường Đại học Thủ Dầu Một</w:t>
      </w:r>
      <w:r>
        <w:rPr>
          <w:rFonts w:cs="Times New Roman"/>
          <w:i/>
          <w:iCs/>
          <w:sz w:val="24"/>
          <w:szCs w:val="24"/>
          <w:lang w:val="en-US"/>
        </w:rPr>
        <w:t>, Việt Nam</w:t>
      </w:r>
    </w:p>
    <w:p w14:paraId="0F59389B" w14:textId="77777777" w:rsidR="00B12F32" w:rsidRDefault="00B12F32" w:rsidP="00B12F32">
      <w:pPr>
        <w:spacing w:before="120" w:after="120" w:line="240" w:lineRule="auto"/>
        <w:jc w:val="both"/>
        <w:rPr>
          <w:rFonts w:cs="Times New Roman"/>
          <w:b/>
          <w:bCs/>
          <w:sz w:val="24"/>
          <w:szCs w:val="24"/>
        </w:rPr>
      </w:pPr>
      <w:bookmarkStart w:id="0" w:name="_Hlk222736469"/>
    </w:p>
    <w:p w14:paraId="70DD9B06" w14:textId="2820DA08" w:rsidR="000B0DF1" w:rsidRPr="000F4C16" w:rsidRDefault="006E3901" w:rsidP="00B12F32">
      <w:pPr>
        <w:spacing w:before="120" w:after="120" w:line="240" w:lineRule="auto"/>
        <w:jc w:val="both"/>
        <w:rPr>
          <w:rFonts w:cs="Times New Roman"/>
          <w:b/>
          <w:bCs/>
          <w:sz w:val="24"/>
          <w:szCs w:val="24"/>
        </w:rPr>
      </w:pPr>
      <w:r w:rsidRPr="00B12F32">
        <w:rPr>
          <w:rFonts w:cs="Times New Roman"/>
          <w:b/>
          <w:bCs/>
          <w:sz w:val="22"/>
        </w:rPr>
        <w:t>TÓM TẮT</w:t>
      </w:r>
    </w:p>
    <w:p w14:paraId="009132C4" w14:textId="2903E6DE" w:rsidR="000B0DF1" w:rsidRPr="00B12F32" w:rsidRDefault="00AA598F" w:rsidP="00B12F32">
      <w:pPr>
        <w:spacing w:before="120" w:after="120" w:line="240" w:lineRule="auto"/>
        <w:ind w:firstLine="567"/>
        <w:jc w:val="both"/>
        <w:rPr>
          <w:rFonts w:cs="Times New Roman"/>
          <w:sz w:val="20"/>
          <w:szCs w:val="20"/>
        </w:rPr>
      </w:pPr>
      <w:r w:rsidRPr="00B12F32">
        <w:rPr>
          <w:rFonts w:cs="Times New Roman"/>
          <w:sz w:val="20"/>
          <w:szCs w:val="20"/>
        </w:rPr>
        <w:t>B</w:t>
      </w:r>
      <w:r w:rsidR="000B0DF1" w:rsidRPr="00B12F32">
        <w:rPr>
          <w:rFonts w:cs="Times New Roman"/>
          <w:sz w:val="20"/>
          <w:szCs w:val="20"/>
        </w:rPr>
        <w:t xml:space="preserve">ài viết phân tích mô hình quản trị hệ sinh thái đổi mới xanh tại </w:t>
      </w:r>
      <w:r w:rsidRPr="00B12F32">
        <w:rPr>
          <w:rFonts w:cs="Times New Roman"/>
          <w:sz w:val="20"/>
          <w:szCs w:val="20"/>
        </w:rPr>
        <w:t xml:space="preserve">Đại học </w:t>
      </w:r>
      <w:r w:rsidR="00DF2DE0">
        <w:rPr>
          <w:rFonts w:cs="Times New Roman"/>
          <w:sz w:val="20"/>
          <w:szCs w:val="20"/>
          <w:lang w:val="en-US"/>
        </w:rPr>
        <w:t>N</w:t>
      </w:r>
      <w:r w:rsidRPr="00B12F32">
        <w:rPr>
          <w:rFonts w:cs="Times New Roman"/>
          <w:sz w:val="20"/>
          <w:szCs w:val="20"/>
        </w:rPr>
        <w:t xml:space="preserve">ghiên cứu </w:t>
      </w:r>
      <w:r w:rsidR="000B0DF1" w:rsidRPr="00B12F32">
        <w:rPr>
          <w:rFonts w:cs="Times New Roman"/>
          <w:sz w:val="20"/>
          <w:szCs w:val="20"/>
        </w:rPr>
        <w:t xml:space="preserve">Wageningen nhằm làm rõ cách một đại học nghiên cứu có thể tái cấu trúc vai trò của mình trong kỷ nguyên phát triển bền vững. Dựa trên phương pháp nghiên cứu trường hợp định tính và phân tích nội dung các văn kiện chiến lược, báo cáo bền vững và tài liệu học thuật, nghiên cứu tiếp cận </w:t>
      </w:r>
      <w:r w:rsidR="00465700" w:rsidRPr="00B12F32">
        <w:rPr>
          <w:rFonts w:cs="Times New Roman"/>
          <w:sz w:val="20"/>
          <w:szCs w:val="20"/>
        </w:rPr>
        <w:t>Đại học nghiên cứu Wageningen</w:t>
      </w:r>
      <w:r w:rsidR="000B0DF1" w:rsidRPr="00B12F32">
        <w:rPr>
          <w:rFonts w:cs="Times New Roman"/>
          <w:sz w:val="20"/>
          <w:szCs w:val="20"/>
        </w:rPr>
        <w:t xml:space="preserve"> qua ba trụ cột: định hướng sứ mệnh, thiết kế tổ chức và cơ chế vận hành dựa trên dữ liệu. Kết quả cho thấy: (i) phát triển bền vững được thể chế hóa thành sứ mệnh chiến lược dài hạn, tích hợp </w:t>
      </w:r>
      <w:r w:rsidR="008A276F" w:rsidRPr="00B12F32">
        <w:rPr>
          <w:rFonts w:cs="Times New Roman"/>
          <w:sz w:val="20"/>
          <w:szCs w:val="20"/>
        </w:rPr>
        <w:t>Chương trình nghị sự 2030 vì sự phát triển bền vững</w:t>
      </w:r>
      <w:r w:rsidR="000B0DF1" w:rsidRPr="00B12F32">
        <w:rPr>
          <w:rFonts w:cs="Times New Roman"/>
          <w:sz w:val="20"/>
          <w:szCs w:val="20"/>
        </w:rPr>
        <w:t xml:space="preserve"> vào hệ thống chỉ số và báo cáo; (ii) mô hình </w:t>
      </w:r>
      <w:r w:rsidR="008A276F" w:rsidRPr="00B12F32">
        <w:rPr>
          <w:rFonts w:cs="Times New Roman"/>
          <w:sz w:val="20"/>
          <w:szCs w:val="20"/>
        </w:rPr>
        <w:t>“nhóm nghiên cứu”</w:t>
      </w:r>
      <w:r w:rsidR="000B0DF1" w:rsidRPr="00B12F32">
        <w:rPr>
          <w:rFonts w:cs="Times New Roman"/>
          <w:sz w:val="20"/>
          <w:szCs w:val="20"/>
        </w:rPr>
        <w:t xml:space="preserve"> tạo ra cấu trúc linh hoạt, liên ngành, gắn nghiên cứu – đào tạo – hợp tác xã hội; và (iii) chuyển đổi số cùng </w:t>
      </w:r>
      <w:r w:rsidR="008A276F" w:rsidRPr="00B12F32">
        <w:rPr>
          <w:rFonts w:cs="Times New Roman"/>
          <w:sz w:val="20"/>
          <w:szCs w:val="20"/>
        </w:rPr>
        <w:t xml:space="preserve">khuôn viên </w:t>
      </w:r>
      <w:r w:rsidR="000B0DF1" w:rsidRPr="00B12F32">
        <w:rPr>
          <w:rFonts w:cs="Times New Roman"/>
          <w:sz w:val="20"/>
          <w:szCs w:val="20"/>
        </w:rPr>
        <w:t xml:space="preserve">Wageningen hình thành nền tảng đổi mới mở, thúc đẩy hợp tác đại học – doanh nghiệp – nhà nước. Từ trường hợp </w:t>
      </w:r>
      <w:r w:rsidR="00465700" w:rsidRPr="00B12F32">
        <w:rPr>
          <w:rFonts w:cs="Times New Roman"/>
          <w:sz w:val="20"/>
          <w:szCs w:val="20"/>
        </w:rPr>
        <w:t xml:space="preserve">Đại học </w:t>
      </w:r>
      <w:r w:rsidR="00DF2DE0">
        <w:rPr>
          <w:rFonts w:cs="Times New Roman"/>
          <w:sz w:val="20"/>
          <w:szCs w:val="20"/>
          <w:lang w:val="en-US"/>
        </w:rPr>
        <w:t>N</w:t>
      </w:r>
      <w:r w:rsidR="00465700" w:rsidRPr="00B12F32">
        <w:rPr>
          <w:rFonts w:cs="Times New Roman"/>
          <w:sz w:val="20"/>
          <w:szCs w:val="20"/>
        </w:rPr>
        <w:t>ghiên cứu Wageningen</w:t>
      </w:r>
      <w:r w:rsidR="000B0DF1" w:rsidRPr="00B12F32">
        <w:rPr>
          <w:rFonts w:cs="Times New Roman"/>
          <w:sz w:val="20"/>
          <w:szCs w:val="20"/>
        </w:rPr>
        <w:t xml:space="preserve">, </w:t>
      </w:r>
      <w:r w:rsidR="008A276F" w:rsidRPr="00B12F32">
        <w:rPr>
          <w:rFonts w:cs="Times New Roman"/>
          <w:sz w:val="20"/>
          <w:szCs w:val="20"/>
        </w:rPr>
        <w:t xml:space="preserve">bài viết </w:t>
      </w:r>
      <w:r w:rsidR="000B0DF1" w:rsidRPr="00B12F32">
        <w:rPr>
          <w:rFonts w:cs="Times New Roman"/>
          <w:sz w:val="20"/>
          <w:szCs w:val="20"/>
        </w:rPr>
        <w:t>thảo luận hàm ý cho Việt Nam trong bối cảnh thực thi Nghị quyết 57 và 71, nhấn mạnh yêu cầu chuyển dịch sang đại học định hướng sứ mệnh, tự chủ gắn với trách nhiệm giải trình và quản trị dựa trên dữ liệu.</w:t>
      </w:r>
    </w:p>
    <w:bookmarkEnd w:id="0"/>
    <w:p w14:paraId="0A115D92" w14:textId="37F96DE4" w:rsidR="000B0DF1" w:rsidRPr="00B12F32" w:rsidRDefault="000B0DF1" w:rsidP="00B12F32">
      <w:pPr>
        <w:spacing w:before="120" w:after="120" w:line="240" w:lineRule="auto"/>
        <w:jc w:val="both"/>
        <w:rPr>
          <w:rFonts w:cs="Times New Roman"/>
          <w:sz w:val="20"/>
          <w:szCs w:val="20"/>
        </w:rPr>
      </w:pPr>
      <w:r w:rsidRPr="00B12F32">
        <w:rPr>
          <w:rFonts w:cs="Times New Roman"/>
          <w:b/>
          <w:bCs/>
          <w:sz w:val="20"/>
          <w:szCs w:val="20"/>
        </w:rPr>
        <w:t>Từ khóa:</w:t>
      </w:r>
      <w:r w:rsidRPr="00B12F32">
        <w:rPr>
          <w:rFonts w:cs="Times New Roman"/>
          <w:sz w:val="20"/>
          <w:szCs w:val="20"/>
        </w:rPr>
        <w:t xml:space="preserve"> </w:t>
      </w:r>
      <w:r w:rsidR="008A276F" w:rsidRPr="00B12F32">
        <w:rPr>
          <w:rFonts w:cs="Times New Roman"/>
          <w:sz w:val="20"/>
          <w:szCs w:val="20"/>
        </w:rPr>
        <w:t>c</w:t>
      </w:r>
      <w:r w:rsidRPr="00B12F32">
        <w:rPr>
          <w:rFonts w:cs="Times New Roman"/>
          <w:sz w:val="20"/>
          <w:szCs w:val="20"/>
        </w:rPr>
        <w:t xml:space="preserve">huyển đổi số, </w:t>
      </w:r>
      <w:r w:rsidR="008A276F" w:rsidRPr="00B12F32">
        <w:rPr>
          <w:rFonts w:cs="Times New Roman"/>
          <w:sz w:val="20"/>
          <w:szCs w:val="20"/>
        </w:rPr>
        <w:t>đ</w:t>
      </w:r>
      <w:r w:rsidRPr="00B12F32">
        <w:rPr>
          <w:rFonts w:cs="Times New Roman"/>
          <w:sz w:val="20"/>
          <w:szCs w:val="20"/>
        </w:rPr>
        <w:t xml:space="preserve">ổi mới xanh; </w:t>
      </w:r>
      <w:r w:rsidR="008A276F" w:rsidRPr="00B12F32">
        <w:rPr>
          <w:rFonts w:cs="Times New Roman"/>
          <w:sz w:val="20"/>
          <w:szCs w:val="20"/>
        </w:rPr>
        <w:t>đ</w:t>
      </w:r>
      <w:r w:rsidRPr="00B12F32">
        <w:rPr>
          <w:rFonts w:cs="Times New Roman"/>
          <w:sz w:val="20"/>
          <w:szCs w:val="20"/>
        </w:rPr>
        <w:t xml:space="preserve">ại học định hướng sứ mệnh; </w:t>
      </w:r>
      <w:r w:rsidR="008A276F" w:rsidRPr="00B12F32">
        <w:rPr>
          <w:rFonts w:cs="Times New Roman"/>
          <w:sz w:val="20"/>
          <w:szCs w:val="20"/>
        </w:rPr>
        <w:t>q</w:t>
      </w:r>
      <w:r w:rsidRPr="00B12F32">
        <w:rPr>
          <w:rFonts w:cs="Times New Roman"/>
          <w:sz w:val="20"/>
          <w:szCs w:val="20"/>
        </w:rPr>
        <w:t>uản trị đại học</w:t>
      </w:r>
    </w:p>
    <w:p w14:paraId="316570CF" w14:textId="77777777" w:rsidR="009503F0" w:rsidRPr="00C808B9" w:rsidRDefault="009503F0" w:rsidP="00C808B9">
      <w:pPr>
        <w:jc w:val="both"/>
        <w:rPr>
          <w:rFonts w:cs="Times New Roman"/>
          <w:sz w:val="24"/>
          <w:szCs w:val="24"/>
        </w:rPr>
      </w:pPr>
    </w:p>
    <w:p w14:paraId="1B202807" w14:textId="27F2631C" w:rsidR="001C01E3" w:rsidRPr="00B12F32" w:rsidRDefault="001C01E3" w:rsidP="00B12F32">
      <w:pPr>
        <w:spacing w:before="120" w:after="120" w:line="240" w:lineRule="auto"/>
        <w:jc w:val="both"/>
        <w:rPr>
          <w:rFonts w:cs="Times New Roman"/>
          <w:b/>
          <w:bCs/>
          <w:sz w:val="22"/>
        </w:rPr>
      </w:pPr>
      <w:r w:rsidRPr="00B12F32">
        <w:rPr>
          <w:rFonts w:cs="Times New Roman"/>
          <w:b/>
          <w:bCs/>
          <w:sz w:val="22"/>
        </w:rPr>
        <w:t xml:space="preserve">1. </w:t>
      </w:r>
      <w:r w:rsidR="00B12F32" w:rsidRPr="00B12F32">
        <w:rPr>
          <w:rFonts w:cs="Times New Roman"/>
          <w:b/>
          <w:bCs/>
          <w:sz w:val="22"/>
        </w:rPr>
        <w:t>GIỚI THIỆU</w:t>
      </w:r>
    </w:p>
    <w:p w14:paraId="3BAC58A7" w14:textId="064CCD37"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Trong bối cảnh biến đổi khí hậu và áp lực phát triển bền vững toàn cầu, giáo dục đại học đang được kỳ vọng tái cấu trúc vai trò của mình từ trung tâm sản xuất tri thức sang tác nhân thúc đẩy chuyển đổi hệ thống. Chương trình </w:t>
      </w:r>
      <w:r w:rsidR="000B0DF1" w:rsidRPr="00B12F32">
        <w:rPr>
          <w:rFonts w:cs="Times New Roman"/>
          <w:sz w:val="22"/>
        </w:rPr>
        <w:t>n</w:t>
      </w:r>
      <w:r w:rsidRPr="00B12F32">
        <w:rPr>
          <w:rFonts w:cs="Times New Roman"/>
          <w:sz w:val="22"/>
        </w:rPr>
        <w:t>ghị sự 2030</w:t>
      </w:r>
      <w:r w:rsidR="007A04F3" w:rsidRPr="00B12F32">
        <w:rPr>
          <w:rFonts w:cs="Times New Roman"/>
          <w:sz w:val="22"/>
          <w:lang w:val="en-US"/>
        </w:rPr>
        <w:t xml:space="preserve"> của</w:t>
      </w:r>
      <w:r w:rsidR="00C808B9" w:rsidRPr="00B12F32">
        <w:rPr>
          <w:rFonts w:cs="Times New Roman"/>
          <w:sz w:val="22"/>
        </w:rPr>
        <w:t xml:space="preserve"> </w:t>
      </w:r>
      <w:r w:rsidRPr="00B12F32">
        <w:rPr>
          <w:rFonts w:cs="Times New Roman"/>
          <w:sz w:val="22"/>
        </w:rPr>
        <w:t xml:space="preserve">Liên Hợp Quốc </w:t>
      </w:r>
      <w:r w:rsidR="00C808B9" w:rsidRPr="00B12F32">
        <w:rPr>
          <w:rFonts w:cs="Times New Roman"/>
          <w:sz w:val="22"/>
        </w:rPr>
        <w:t xml:space="preserve">đã </w:t>
      </w:r>
      <w:r w:rsidRPr="00B12F32">
        <w:rPr>
          <w:rFonts w:cs="Times New Roman"/>
          <w:sz w:val="22"/>
        </w:rPr>
        <w:t xml:space="preserve">đặt ra các Mục tiêu </w:t>
      </w:r>
      <w:r w:rsidR="000B0DF1" w:rsidRPr="00B12F32">
        <w:rPr>
          <w:rFonts w:cs="Times New Roman"/>
          <w:sz w:val="22"/>
        </w:rPr>
        <w:t>p</w:t>
      </w:r>
      <w:r w:rsidRPr="00B12F32">
        <w:rPr>
          <w:rFonts w:cs="Times New Roman"/>
          <w:sz w:val="22"/>
        </w:rPr>
        <w:t xml:space="preserve">hát triển </w:t>
      </w:r>
      <w:r w:rsidR="000B0DF1" w:rsidRPr="00B12F32">
        <w:rPr>
          <w:rFonts w:cs="Times New Roman"/>
          <w:sz w:val="22"/>
        </w:rPr>
        <w:t>b</w:t>
      </w:r>
      <w:r w:rsidRPr="00B12F32">
        <w:rPr>
          <w:rFonts w:cs="Times New Roman"/>
          <w:sz w:val="22"/>
        </w:rPr>
        <w:t>ền vững (SDGs) như khung định hướng toàn cầu cho chính phủ, doanh nghiệp và đại học</w:t>
      </w:r>
      <w:r w:rsidR="00C808B9" w:rsidRPr="00B12F32">
        <w:rPr>
          <w:rFonts w:cs="Times New Roman"/>
          <w:sz w:val="22"/>
          <w:vertAlign w:val="superscript"/>
        </w:rPr>
        <w:t>9</w:t>
      </w:r>
      <w:r w:rsidRPr="00B12F32">
        <w:rPr>
          <w:rFonts w:cs="Times New Roman"/>
          <w:sz w:val="22"/>
        </w:rPr>
        <w:t>. Trong lĩnh vực nông nghiệp – thực phẩm, các nghiên cứu về quản trị chuỗi cung ứng bền vững và toàn cầu hóa nhấn mạnh nhu cầu phối hợp đa tác nhân và đổi mới thể chế</w:t>
      </w:r>
      <w:r w:rsidR="00C808B9" w:rsidRPr="00B12F32">
        <w:rPr>
          <w:rFonts w:cs="Times New Roman"/>
          <w:sz w:val="22"/>
          <w:vertAlign w:val="superscript"/>
        </w:rPr>
        <w:t>4,8</w:t>
      </w:r>
      <w:r w:rsidRPr="00B12F32">
        <w:rPr>
          <w:rFonts w:cs="Times New Roman"/>
          <w:sz w:val="22"/>
        </w:rPr>
        <w:t>. Điều này đặt ra câu hỏi về cách thức đại học tổ chức lại chiến lược, cấu trúc và hệ sinh thái hợp tác để đáp ứng yêu cầu chuyển đổi xanh.</w:t>
      </w:r>
    </w:p>
    <w:p w14:paraId="5DD1DCC7" w14:textId="5F822575"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Các lý thuyết về đại học khởi nghiệp</w:t>
      </w:r>
      <w:r w:rsidR="00C808B9" w:rsidRPr="00B12F32">
        <w:rPr>
          <w:rFonts w:cs="Times New Roman"/>
          <w:sz w:val="22"/>
          <w:vertAlign w:val="superscript"/>
        </w:rPr>
        <w:t>5</w:t>
      </w:r>
      <w:r w:rsidRPr="00B12F32">
        <w:rPr>
          <w:rFonts w:cs="Times New Roman"/>
          <w:sz w:val="22"/>
        </w:rPr>
        <w:t xml:space="preserve"> và mô hình “ba </w:t>
      </w:r>
      <w:r w:rsidR="00C808B9" w:rsidRPr="00B12F32">
        <w:rPr>
          <w:rFonts w:cs="Times New Roman"/>
          <w:sz w:val="22"/>
        </w:rPr>
        <w:t>nhà</w:t>
      </w:r>
      <w:r w:rsidRPr="00B12F32">
        <w:rPr>
          <w:rFonts w:cs="Times New Roman"/>
          <w:sz w:val="22"/>
        </w:rPr>
        <w:t>”</w:t>
      </w:r>
      <w:r w:rsidR="00EB4C17" w:rsidRPr="00B12F32">
        <w:rPr>
          <w:rFonts w:cs="Times New Roman"/>
          <w:sz w:val="22"/>
          <w:vertAlign w:val="superscript"/>
        </w:rPr>
        <w:t>6</w:t>
      </w:r>
      <w:r w:rsidRPr="00B12F32">
        <w:rPr>
          <w:rFonts w:cs="Times New Roman"/>
          <w:sz w:val="22"/>
        </w:rPr>
        <w:t xml:space="preserve"> </w:t>
      </w:r>
      <w:r w:rsidR="00EB4C17">
        <w:rPr>
          <w:rFonts w:cs="Times New Roman"/>
          <w:sz w:val="22"/>
          <w:lang w:val="en-US"/>
        </w:rPr>
        <w:t>(</w:t>
      </w:r>
      <w:r w:rsidRPr="00B12F32">
        <w:rPr>
          <w:rFonts w:cs="Times New Roman"/>
          <w:sz w:val="22"/>
        </w:rPr>
        <w:t>đại học – doanh nghiệp – chính phủ</w:t>
      </w:r>
      <w:r w:rsidR="00EB4C17">
        <w:rPr>
          <w:rFonts w:cs="Times New Roman"/>
          <w:sz w:val="22"/>
          <w:lang w:val="en-US"/>
        </w:rPr>
        <w:t>)</w:t>
      </w:r>
      <w:r w:rsidRPr="00B12F32">
        <w:rPr>
          <w:rFonts w:cs="Times New Roman"/>
          <w:sz w:val="22"/>
        </w:rPr>
        <w:t xml:space="preserve"> đã mở rộng vai trò của đại học trong đổi mới sáng tạo. Tuy nhiên, trong kỷ nguyên phát triển bền vững, thách thức không chỉ là thương mại hóa tri thức mà còn là tích hợp trách nhiệm sinh thái và xã hội vào sứ mệnh thể chế. Trường hợp </w:t>
      </w:r>
      <w:r w:rsidR="00C808B9" w:rsidRPr="00B12F32">
        <w:rPr>
          <w:rFonts w:cs="Times New Roman"/>
          <w:sz w:val="22"/>
        </w:rPr>
        <w:t xml:space="preserve">Đại học </w:t>
      </w:r>
      <w:r w:rsidR="00EB4C17">
        <w:rPr>
          <w:rFonts w:cs="Times New Roman"/>
          <w:sz w:val="22"/>
          <w:lang w:val="en-US"/>
        </w:rPr>
        <w:t>N</w:t>
      </w:r>
      <w:r w:rsidR="00C808B9" w:rsidRPr="00B12F32">
        <w:rPr>
          <w:rFonts w:cs="Times New Roman"/>
          <w:sz w:val="22"/>
        </w:rPr>
        <w:t xml:space="preserve">ghiên cứu </w:t>
      </w:r>
      <w:r w:rsidRPr="00B12F32">
        <w:rPr>
          <w:rFonts w:cs="Times New Roman"/>
          <w:sz w:val="22"/>
        </w:rPr>
        <w:t>Wageningen (WUR)</w:t>
      </w:r>
      <w:r w:rsidR="00DF2DE0">
        <w:rPr>
          <w:rFonts w:cs="Times New Roman"/>
          <w:sz w:val="22"/>
          <w:lang w:val="en-US"/>
        </w:rPr>
        <w:t xml:space="preserve"> (Hà Lan)</w:t>
      </w:r>
      <w:r w:rsidRPr="00B12F32">
        <w:rPr>
          <w:rFonts w:cs="Times New Roman"/>
          <w:sz w:val="22"/>
        </w:rPr>
        <w:t xml:space="preserve"> được xem là một ví dụ tiêu biểu cho xu hướng này</w:t>
      </w:r>
      <w:r w:rsidR="00C808B9" w:rsidRPr="00B12F32">
        <w:rPr>
          <w:rFonts w:cs="Times New Roman"/>
          <w:sz w:val="22"/>
          <w:vertAlign w:val="superscript"/>
        </w:rPr>
        <w:t>1</w:t>
      </w:r>
      <w:r w:rsidR="007A04F3" w:rsidRPr="00B12F32">
        <w:rPr>
          <w:rFonts w:cs="Times New Roman"/>
          <w:sz w:val="22"/>
          <w:vertAlign w:val="superscript"/>
          <w:lang w:val="en-US"/>
        </w:rPr>
        <w:t>,7</w:t>
      </w:r>
      <w:r w:rsidRPr="00B12F32">
        <w:rPr>
          <w:rFonts w:cs="Times New Roman"/>
          <w:sz w:val="22"/>
        </w:rPr>
        <w:t>.</w:t>
      </w:r>
    </w:p>
    <w:p w14:paraId="570F9D87" w14:textId="5833351E"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Các văn kiện chiến lược và báo cáo thể chế của WUR cho thấy phát triển bền vững được xác lập như trục chiến lược dài hạn, thể hiện qua tầm nhìn giáo dục</w:t>
      </w:r>
      <w:r w:rsidR="00FE38A0" w:rsidRPr="00B12F32">
        <w:rPr>
          <w:rFonts w:cs="Times New Roman"/>
          <w:sz w:val="22"/>
          <w:vertAlign w:val="superscript"/>
          <w:lang w:val="en-US"/>
        </w:rPr>
        <w:t>10,</w:t>
      </w:r>
      <w:r w:rsidR="00C70FBE" w:rsidRPr="00B12F32">
        <w:rPr>
          <w:rFonts w:cs="Times New Roman"/>
          <w:sz w:val="22"/>
          <w:vertAlign w:val="superscript"/>
          <w:lang w:val="en-US"/>
        </w:rPr>
        <w:t>12,20</w:t>
      </w:r>
      <w:r w:rsidRPr="00B12F32">
        <w:rPr>
          <w:rFonts w:cs="Times New Roman"/>
          <w:sz w:val="22"/>
        </w:rPr>
        <w:t>, các kế hoạch chiến lược</w:t>
      </w:r>
      <w:r w:rsidR="00C70FBE" w:rsidRPr="00B12F32">
        <w:rPr>
          <w:rFonts w:cs="Times New Roman"/>
          <w:sz w:val="22"/>
          <w:vertAlign w:val="superscript"/>
          <w:lang w:val="en-US"/>
        </w:rPr>
        <w:t>12</w:t>
      </w:r>
      <w:r w:rsidR="00EB4C17">
        <w:rPr>
          <w:rFonts w:cs="Times New Roman"/>
          <w:sz w:val="22"/>
          <w:vertAlign w:val="superscript"/>
          <w:lang w:val="en-US"/>
        </w:rPr>
        <w:t>-</w:t>
      </w:r>
      <w:r w:rsidR="00C70FBE" w:rsidRPr="00B12F32">
        <w:rPr>
          <w:rFonts w:cs="Times New Roman"/>
          <w:sz w:val="22"/>
          <w:vertAlign w:val="superscript"/>
          <w:lang w:val="en-US"/>
        </w:rPr>
        <w:t>14,18,20</w:t>
      </w:r>
      <w:r w:rsidRPr="00B12F32">
        <w:rPr>
          <w:rFonts w:cs="Times New Roman"/>
          <w:sz w:val="22"/>
        </w:rPr>
        <w:t>, hệ thống báo cáo thường niên và bền vững</w:t>
      </w:r>
      <w:r w:rsidR="00C70FBE" w:rsidRPr="00B12F32">
        <w:rPr>
          <w:rFonts w:cs="Times New Roman"/>
          <w:sz w:val="22"/>
          <w:vertAlign w:val="superscript"/>
          <w:lang w:val="en-US"/>
        </w:rPr>
        <w:t>11,17</w:t>
      </w:r>
      <w:r w:rsidRPr="00B12F32">
        <w:rPr>
          <w:rFonts w:cs="Times New Roman"/>
          <w:sz w:val="22"/>
        </w:rPr>
        <w:t>, cũng như việc thể chế hóa SDGs vào quản trị nội bộ</w:t>
      </w:r>
      <w:r w:rsidR="00C70FBE" w:rsidRPr="00B12F32">
        <w:rPr>
          <w:rFonts w:cs="Times New Roman"/>
          <w:sz w:val="22"/>
          <w:vertAlign w:val="superscript"/>
          <w:lang w:val="en-US"/>
        </w:rPr>
        <w:t>13,14,17</w:t>
      </w:r>
      <w:r w:rsidRPr="00B12F32">
        <w:rPr>
          <w:rFonts w:cs="Times New Roman"/>
          <w:sz w:val="22"/>
        </w:rPr>
        <w:t xml:space="preserve">. Đồng thời, mô hình </w:t>
      </w:r>
      <w:r w:rsidR="00C70FBE" w:rsidRPr="00B12F32">
        <w:rPr>
          <w:rFonts w:cs="Times New Roman"/>
          <w:sz w:val="22"/>
          <w:lang w:val="en-US"/>
        </w:rPr>
        <w:t>nhóm nghiên cứu</w:t>
      </w:r>
      <w:r w:rsidR="00C70FBE" w:rsidRPr="00B12F32">
        <w:rPr>
          <w:rFonts w:cs="Times New Roman"/>
          <w:sz w:val="22"/>
          <w:vertAlign w:val="superscript"/>
          <w:lang w:val="en-US"/>
        </w:rPr>
        <w:t>15</w:t>
      </w:r>
      <w:r w:rsidRPr="00B12F32">
        <w:rPr>
          <w:rFonts w:cs="Times New Roman"/>
          <w:sz w:val="22"/>
        </w:rPr>
        <w:t>, chuyển đổi số và quản trị dựa trên dữ liệu</w:t>
      </w:r>
      <w:r w:rsidR="00C70FBE" w:rsidRPr="00B12F32">
        <w:rPr>
          <w:rFonts w:cs="Times New Roman"/>
          <w:sz w:val="22"/>
          <w:vertAlign w:val="superscript"/>
          <w:lang w:val="en-US"/>
        </w:rPr>
        <w:t>13</w:t>
      </w:r>
      <w:r w:rsidRPr="00B12F32">
        <w:rPr>
          <w:rFonts w:cs="Times New Roman"/>
          <w:sz w:val="22"/>
        </w:rPr>
        <w:t xml:space="preserve">, cùng hệ sinh thái đổi mới và khởi nghiệp trên </w:t>
      </w:r>
      <w:r w:rsidR="00C70FBE" w:rsidRPr="00B12F32">
        <w:rPr>
          <w:rFonts w:cs="Times New Roman"/>
          <w:sz w:val="22"/>
          <w:lang w:val="en-US"/>
        </w:rPr>
        <w:t>khuôn viên</w:t>
      </w:r>
      <w:r w:rsidR="00C70FBE" w:rsidRPr="00B12F32">
        <w:rPr>
          <w:rFonts w:cs="Times New Roman"/>
          <w:sz w:val="22"/>
          <w:vertAlign w:val="superscript"/>
          <w:lang w:val="en-US"/>
        </w:rPr>
        <w:t>16</w:t>
      </w:r>
      <w:r w:rsidR="00C70FBE" w:rsidRPr="00B12F32">
        <w:rPr>
          <w:rFonts w:cs="Times New Roman"/>
          <w:sz w:val="22"/>
          <w:lang w:val="en-US"/>
        </w:rPr>
        <w:t xml:space="preserve"> </w:t>
      </w:r>
      <w:r w:rsidRPr="00B12F32">
        <w:rPr>
          <w:rFonts w:cs="Times New Roman"/>
          <w:sz w:val="22"/>
        </w:rPr>
        <w:t>cho thấy sự tích hợp giữa chiến lược, cấu trúc và hệ sinh thái.</w:t>
      </w:r>
    </w:p>
    <w:p w14:paraId="0D1B18B7" w14:textId="77777777"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Từ đó, bài viết đặt mục tiêu phân tích mô hình quản trị hệ sinh thái đổi mới xanh tại WUR như một trường hợp điển hình về tái cấu trúc vai trò đại học trong kỷ nguyên chuyển đổi xanh toàn cầu.</w:t>
      </w:r>
    </w:p>
    <w:p w14:paraId="3DDEBB0A" w14:textId="77777777" w:rsidR="00C70FBE" w:rsidRPr="00B12F32" w:rsidRDefault="00C70FBE" w:rsidP="00B12F32">
      <w:pPr>
        <w:spacing w:before="120" w:after="120" w:line="240" w:lineRule="auto"/>
        <w:jc w:val="both"/>
        <w:rPr>
          <w:rFonts w:cs="Times New Roman"/>
          <w:sz w:val="22"/>
        </w:rPr>
      </w:pPr>
    </w:p>
    <w:p w14:paraId="57CABAA4" w14:textId="5FF87173" w:rsidR="001C01E3" w:rsidRPr="00B12F32" w:rsidRDefault="001C01E3" w:rsidP="00B12F32">
      <w:pPr>
        <w:spacing w:before="120" w:after="120" w:line="240" w:lineRule="auto"/>
        <w:jc w:val="both"/>
        <w:rPr>
          <w:rFonts w:cs="Times New Roman"/>
          <w:b/>
          <w:bCs/>
          <w:sz w:val="22"/>
        </w:rPr>
      </w:pPr>
      <w:r w:rsidRPr="00B12F32">
        <w:rPr>
          <w:rFonts w:cs="Times New Roman"/>
          <w:b/>
          <w:bCs/>
          <w:sz w:val="22"/>
        </w:rPr>
        <w:t xml:space="preserve">2. </w:t>
      </w:r>
      <w:r w:rsidR="00B12F32" w:rsidRPr="00B12F32">
        <w:rPr>
          <w:rFonts w:cs="Times New Roman"/>
          <w:b/>
          <w:bCs/>
          <w:sz w:val="22"/>
        </w:rPr>
        <w:t>CƠ SỞ LÝ THUYẾT VÀ PHƯƠNG PHÁP NGHIÊN CỨU</w:t>
      </w:r>
    </w:p>
    <w:p w14:paraId="176703D7" w14:textId="77777777" w:rsidR="001C01E3" w:rsidRPr="00B12F32" w:rsidRDefault="001C01E3" w:rsidP="00B12F32">
      <w:pPr>
        <w:spacing w:before="120" w:after="120" w:line="240" w:lineRule="auto"/>
        <w:jc w:val="both"/>
        <w:rPr>
          <w:rFonts w:cs="Times New Roman"/>
          <w:b/>
          <w:bCs/>
          <w:sz w:val="22"/>
        </w:rPr>
      </w:pPr>
      <w:r w:rsidRPr="00B12F32">
        <w:rPr>
          <w:rFonts w:cs="Times New Roman"/>
          <w:b/>
          <w:bCs/>
          <w:sz w:val="22"/>
        </w:rPr>
        <w:t>2.1. Cơ sở lý thuyết</w:t>
      </w:r>
    </w:p>
    <w:p w14:paraId="660B15E9" w14:textId="77777777"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Nghiên cứu này dựa trên ba trụ cột lý thuyết chính: (i) đại học khởi nghiệp và tái cấu trúc tổ chức; (ii) mô hình hợp tác đa tác nhân; và (iii) quản trị phát triển bền vững trong bối cảnh chuyển đổi xanh.</w:t>
      </w:r>
    </w:p>
    <w:p w14:paraId="52547E6F" w14:textId="190540EF"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lastRenderedPageBreak/>
        <w:t>Thứ nhất, lý thuyết đại học khởi nghiệp của Clark</w:t>
      </w:r>
      <w:r w:rsidR="00C70FBE" w:rsidRPr="00B12F32">
        <w:rPr>
          <w:rFonts w:cs="Times New Roman"/>
          <w:sz w:val="22"/>
          <w:vertAlign w:val="superscript"/>
          <w:lang w:val="en-US"/>
        </w:rPr>
        <w:t>5</w:t>
      </w:r>
      <w:r w:rsidRPr="00B12F32">
        <w:rPr>
          <w:rFonts w:cs="Times New Roman"/>
          <w:sz w:val="22"/>
        </w:rPr>
        <w:t xml:space="preserve"> nhấn mạnh vai trò của đa dạng hóa nguồn lực, cấu trúc linh hoạt và năng lực điều phối trung tâm trong quá trình chuyển đổi tổ chức. Cách tiếp cận này giúp giải thích sự dịch chuyển từ mô hình đại học truyền thống sang mô hình năng động hơn, gắn với đổi mới sáng tạo và hợp tác bên ngoài.</w:t>
      </w:r>
    </w:p>
    <w:p w14:paraId="0E834CA8" w14:textId="6C3C67FD"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Thứ hai, mô hình “ba </w:t>
      </w:r>
      <w:r w:rsidR="00C70FBE" w:rsidRPr="00B12F32">
        <w:rPr>
          <w:rFonts w:cs="Times New Roman"/>
          <w:sz w:val="22"/>
          <w:lang w:val="en-US"/>
        </w:rPr>
        <w:t>nhà</w:t>
      </w:r>
      <w:r w:rsidRPr="00B12F32">
        <w:rPr>
          <w:rFonts w:cs="Times New Roman"/>
          <w:sz w:val="22"/>
        </w:rPr>
        <w:t>” của Etzkowitz và Leydesdorff</w:t>
      </w:r>
      <w:r w:rsidR="00C70FBE" w:rsidRPr="00B12F32">
        <w:rPr>
          <w:rFonts w:cs="Times New Roman"/>
          <w:sz w:val="22"/>
          <w:vertAlign w:val="superscript"/>
          <w:lang w:val="en-US"/>
        </w:rPr>
        <w:t>6</w:t>
      </w:r>
      <w:r w:rsidRPr="00B12F32">
        <w:rPr>
          <w:rFonts w:cs="Times New Roman"/>
          <w:sz w:val="22"/>
        </w:rPr>
        <w:t xml:space="preserve"> cung cấp khung phân tích về sự tương tác giữa đại học – doanh nghiệp – chính phủ trong hệ sinh thái đổi mới. Trong lĩnh vực nông nghiệp – thực phẩm, các nghiên cứu về quản trị chuỗi cung ứng bền vững và toàn cầu hóa tiếp tục mở rộng luận điểm này theo hướng nhấn mạnh mạng lưới đa tác nhân và trách nhiệm môi trường</w:t>
      </w:r>
      <w:r w:rsidR="00C70FBE" w:rsidRPr="00B12F32">
        <w:rPr>
          <w:rFonts w:cs="Times New Roman"/>
          <w:sz w:val="22"/>
          <w:vertAlign w:val="superscript"/>
          <w:lang w:val="en-US"/>
        </w:rPr>
        <w:t>4,8</w:t>
      </w:r>
      <w:r w:rsidRPr="00B12F32">
        <w:rPr>
          <w:rFonts w:cs="Times New Roman"/>
          <w:sz w:val="22"/>
        </w:rPr>
        <w:t>.</w:t>
      </w:r>
    </w:p>
    <w:p w14:paraId="5E2084D3" w14:textId="20358BA8"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Thứ ba, trong bối cảnh Chương trình </w:t>
      </w:r>
      <w:r w:rsidR="00C70FBE" w:rsidRPr="00B12F32">
        <w:rPr>
          <w:rFonts w:cs="Times New Roman"/>
          <w:sz w:val="22"/>
          <w:lang w:val="en-US"/>
        </w:rPr>
        <w:t>n</w:t>
      </w:r>
      <w:r w:rsidRPr="00B12F32">
        <w:rPr>
          <w:rFonts w:cs="Times New Roman"/>
          <w:sz w:val="22"/>
        </w:rPr>
        <w:t>ghị sự 2030</w:t>
      </w:r>
      <w:r w:rsidR="00C70FBE" w:rsidRPr="00B12F32">
        <w:rPr>
          <w:rFonts w:cs="Times New Roman"/>
          <w:sz w:val="22"/>
          <w:vertAlign w:val="superscript"/>
          <w:lang w:val="en-US"/>
        </w:rPr>
        <w:t>9</w:t>
      </w:r>
      <w:r w:rsidRPr="00B12F32">
        <w:rPr>
          <w:rFonts w:cs="Times New Roman"/>
          <w:sz w:val="22"/>
        </w:rPr>
        <w:t>, phát triển bền vững trở thành trục định hướng chiến lược của nhiều đại học. Trường hợp WUR cho thấy sự tích hợp phát triển bền vững vào tầm nhìn và chiến lược dài hạn</w:t>
      </w:r>
      <w:r w:rsidR="00C70FBE" w:rsidRPr="00B12F32">
        <w:rPr>
          <w:rFonts w:cs="Times New Roman"/>
          <w:sz w:val="22"/>
          <w:vertAlign w:val="superscript"/>
          <w:lang w:val="en-US"/>
        </w:rPr>
        <w:t>7,10,20</w:t>
      </w:r>
      <w:r w:rsidRPr="00B12F32">
        <w:rPr>
          <w:rFonts w:cs="Times New Roman"/>
          <w:sz w:val="22"/>
        </w:rPr>
        <w:t xml:space="preserve">, giáo dục định hướng </w:t>
      </w:r>
      <w:r w:rsidR="00C70FBE" w:rsidRPr="00B12F32">
        <w:rPr>
          <w:rFonts w:cs="Times New Roman"/>
          <w:sz w:val="22"/>
          <w:lang w:val="en-US"/>
        </w:rPr>
        <w:t>“đổi mới có trách nhiệm</w:t>
      </w:r>
      <w:r w:rsidR="004E3FCD" w:rsidRPr="00B12F32">
        <w:rPr>
          <w:rFonts w:cs="Times New Roman"/>
          <w:sz w:val="22"/>
          <w:lang w:val="en-US"/>
        </w:rPr>
        <w:t xml:space="preserve"> vì khoa học và xã hội”</w:t>
      </w:r>
      <w:r w:rsidR="004E3FCD" w:rsidRPr="00B12F32">
        <w:rPr>
          <w:rFonts w:cs="Times New Roman"/>
          <w:sz w:val="22"/>
          <w:vertAlign w:val="superscript"/>
          <w:lang w:val="en-US"/>
        </w:rPr>
        <w:t>19</w:t>
      </w:r>
      <w:r w:rsidRPr="00B12F32">
        <w:rPr>
          <w:rFonts w:cs="Times New Roman"/>
          <w:sz w:val="22"/>
        </w:rPr>
        <w:t>, và hệ thống báo cáo bền vững cùng SDGs</w:t>
      </w:r>
      <w:r w:rsidR="004E3FCD" w:rsidRPr="00B12F32">
        <w:rPr>
          <w:rFonts w:cs="Times New Roman"/>
          <w:sz w:val="22"/>
          <w:vertAlign w:val="superscript"/>
          <w:lang w:val="en-US"/>
        </w:rPr>
        <w:t>14,17</w:t>
      </w:r>
      <w:r w:rsidRPr="00B12F32">
        <w:rPr>
          <w:rFonts w:cs="Times New Roman"/>
          <w:sz w:val="22"/>
        </w:rPr>
        <w:t>. Các nghiên cứu gần đây cũng khẳng định WUR là mô hình tiêu biểu cho giáo dục đại học bền vững</w:t>
      </w:r>
      <w:r w:rsidR="004E3FCD" w:rsidRPr="00B12F32">
        <w:rPr>
          <w:rFonts w:cs="Times New Roman"/>
          <w:sz w:val="22"/>
          <w:vertAlign w:val="superscript"/>
          <w:lang w:val="en-US"/>
        </w:rPr>
        <w:t>1</w:t>
      </w:r>
      <w:r w:rsidRPr="00B12F32">
        <w:rPr>
          <w:rFonts w:cs="Times New Roman"/>
          <w:sz w:val="22"/>
        </w:rPr>
        <w:t>.</w:t>
      </w:r>
    </w:p>
    <w:p w14:paraId="20946A8C" w14:textId="3B07C5E3"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Từ các khung lý thuyết này, nghiên cứu đề xuất khái niệm “quản trị hệ sinh thái đổi mới xanh” như sự tích hợp giữa chiến lược định hướng sứ mệnh, cấu trúc tổ chức linh hoạt và hệ sinh thái hợp tác mở dựa trên dữ liệu</w:t>
      </w:r>
      <w:r w:rsidR="004E3FCD" w:rsidRPr="00B12F32">
        <w:rPr>
          <w:rFonts w:cs="Times New Roman"/>
          <w:sz w:val="22"/>
          <w:vertAlign w:val="superscript"/>
          <w:lang w:val="en-US"/>
        </w:rPr>
        <w:t>10,14,15,16</w:t>
      </w:r>
      <w:r w:rsidRPr="00B12F32">
        <w:rPr>
          <w:rFonts w:cs="Times New Roman"/>
          <w:sz w:val="22"/>
        </w:rPr>
        <w:t>.</w:t>
      </w:r>
    </w:p>
    <w:p w14:paraId="78C832CE" w14:textId="77777777" w:rsidR="001C01E3" w:rsidRPr="00B12F32" w:rsidRDefault="001C01E3" w:rsidP="00B12F32">
      <w:pPr>
        <w:spacing w:before="120" w:after="120" w:line="240" w:lineRule="auto"/>
        <w:jc w:val="both"/>
        <w:rPr>
          <w:rFonts w:cs="Times New Roman"/>
          <w:b/>
          <w:bCs/>
          <w:sz w:val="22"/>
        </w:rPr>
      </w:pPr>
      <w:r w:rsidRPr="00B12F32">
        <w:rPr>
          <w:rFonts w:cs="Times New Roman"/>
          <w:b/>
          <w:bCs/>
          <w:sz w:val="22"/>
        </w:rPr>
        <w:t>2.2. Phương pháp nghiên cứu</w:t>
      </w:r>
    </w:p>
    <w:p w14:paraId="335200A6" w14:textId="6B641F05"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Nghiên cứu sử dụng phương pháp nghiên cứu trường hợp định tính. Dữ liệu được thu thập thông qua phân tích nội dung các văn kiện chiến lược, báo cáo thường niên, báo cáo bền vững và tài liệu học thuật liên quan đến WUR giai đoạn 2017–2025</w:t>
      </w:r>
      <w:r w:rsidR="0003570E" w:rsidRPr="00B12F32">
        <w:rPr>
          <w:rFonts w:cs="Times New Roman"/>
          <w:sz w:val="22"/>
          <w:vertAlign w:val="superscript"/>
          <w:lang w:val="en-US"/>
        </w:rPr>
        <w:t>10-21</w:t>
      </w:r>
      <w:r w:rsidRPr="00B12F32">
        <w:rPr>
          <w:rFonts w:cs="Times New Roman"/>
          <w:sz w:val="22"/>
        </w:rPr>
        <w:t>.</w:t>
      </w:r>
    </w:p>
    <w:p w14:paraId="6BEFA4DD" w14:textId="61121C7C"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Phương pháp phân tích nội dung được áp dụng nhằm nhận diện các chủ đề cốt lõi: định hướng chiến lược, thiết kế tổ chức</w:t>
      </w:r>
      <w:r w:rsidR="004E3FCD" w:rsidRPr="00B12F32">
        <w:rPr>
          <w:rFonts w:cs="Times New Roman"/>
          <w:sz w:val="22"/>
          <w:vertAlign w:val="superscript"/>
          <w:lang w:val="en-US"/>
        </w:rPr>
        <w:t>15</w:t>
      </w:r>
      <w:r w:rsidRPr="00B12F32">
        <w:rPr>
          <w:rFonts w:cs="Times New Roman"/>
          <w:sz w:val="22"/>
        </w:rPr>
        <w:t>, chuyển đổi số</w:t>
      </w:r>
      <w:r w:rsidR="004E3FCD" w:rsidRPr="00B12F32">
        <w:rPr>
          <w:rFonts w:cs="Times New Roman"/>
          <w:sz w:val="22"/>
          <w:vertAlign w:val="superscript"/>
          <w:lang w:val="en-US"/>
        </w:rPr>
        <w:t>13</w:t>
      </w:r>
      <w:r w:rsidRPr="00B12F32">
        <w:rPr>
          <w:rFonts w:cs="Times New Roman"/>
          <w:sz w:val="22"/>
        </w:rPr>
        <w:t>, và hệ sinh thái đổi mới – khởi nghiệp</w:t>
      </w:r>
      <w:r w:rsidR="004E3FCD" w:rsidRPr="00B12F32">
        <w:rPr>
          <w:rFonts w:cs="Times New Roman"/>
          <w:sz w:val="22"/>
          <w:vertAlign w:val="superscript"/>
          <w:lang w:val="en-US"/>
        </w:rPr>
        <w:t>16,18</w:t>
      </w:r>
      <w:r w:rsidRPr="00B12F32">
        <w:rPr>
          <w:rFonts w:cs="Times New Roman"/>
          <w:sz w:val="22"/>
        </w:rPr>
        <w:t>. Cách tiếp cận này cho phép kết nối dữ liệu thực chứng với khung lý thuyết về đại học khởi nghiệp và hợp tác đa tác nhân, từ đó làm rõ đặc điểm và năng lực chuyển đổi của mô hình quản trị tại WUR.</w:t>
      </w:r>
    </w:p>
    <w:p w14:paraId="2B5354D8" w14:textId="77777777" w:rsidR="004E3FCD" w:rsidRPr="00B12F32" w:rsidRDefault="004E3FCD" w:rsidP="00B12F32">
      <w:pPr>
        <w:spacing w:before="120" w:after="120" w:line="240" w:lineRule="auto"/>
        <w:jc w:val="both"/>
        <w:rPr>
          <w:rFonts w:cs="Times New Roman"/>
          <w:sz w:val="22"/>
        </w:rPr>
      </w:pPr>
    </w:p>
    <w:p w14:paraId="67C9C083" w14:textId="7B1792AE" w:rsidR="00E7242F" w:rsidRPr="00B12F32" w:rsidRDefault="004E3FCD" w:rsidP="00B12F32">
      <w:pPr>
        <w:spacing w:before="120" w:after="120" w:line="240" w:lineRule="auto"/>
        <w:jc w:val="both"/>
        <w:rPr>
          <w:rFonts w:cs="Times New Roman"/>
          <w:b/>
          <w:bCs/>
          <w:sz w:val="22"/>
          <w:lang w:val="en-US"/>
        </w:rPr>
      </w:pPr>
      <w:r w:rsidRPr="00B12F32">
        <w:rPr>
          <w:rFonts w:cs="Times New Roman"/>
          <w:b/>
          <w:bCs/>
          <w:sz w:val="22"/>
          <w:lang w:val="en-US"/>
        </w:rPr>
        <w:t xml:space="preserve">3. </w:t>
      </w:r>
      <w:r w:rsidR="00E63124" w:rsidRPr="00B12F32">
        <w:rPr>
          <w:rFonts w:cs="Times New Roman"/>
          <w:b/>
          <w:bCs/>
          <w:sz w:val="22"/>
          <w:lang w:val="en-US"/>
        </w:rPr>
        <w:t>NHỮNG PHÁT HIỆN CHÍNH</w:t>
      </w:r>
    </w:p>
    <w:p w14:paraId="6AE3B193" w14:textId="7AB0B2D6" w:rsidR="001C01E3" w:rsidRPr="00E63124" w:rsidRDefault="001C01E3" w:rsidP="00B12F32">
      <w:pPr>
        <w:spacing w:before="120" w:after="120" w:line="240" w:lineRule="auto"/>
        <w:jc w:val="both"/>
        <w:rPr>
          <w:rFonts w:cs="Times New Roman"/>
          <w:b/>
          <w:bCs/>
          <w:sz w:val="22"/>
        </w:rPr>
      </w:pPr>
      <w:r w:rsidRPr="00E63124">
        <w:rPr>
          <w:rFonts w:cs="Times New Roman"/>
          <w:b/>
          <w:bCs/>
          <w:sz w:val="22"/>
        </w:rPr>
        <w:t>3.1. Định hướng sứ mệnh và chiến lược bền vững</w:t>
      </w:r>
    </w:p>
    <w:p w14:paraId="3C203A75" w14:textId="118DC111"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Một trong những đặc điểm nổi bật của WUR là việc xác lập phát triển bền vững không chỉ như một chủ đề nghiên cứu, mà như trục định hướng sứ mệnh thể chế. Khác với mô hình đại học truyền thống tập trung vào tích lũy tri thức thuần túy, WUR định vị mình như một tổ chức khoa học phục vụ chuyển đổi hệ thống lương thực – nông nghiệp – môi trường toàn cầu. Sự dịch chuyển này tương thích với luận điểm về “đại học khởi nghiệp” của Clark</w:t>
      </w:r>
      <w:r w:rsidR="004E3FCD" w:rsidRPr="00B12F32">
        <w:rPr>
          <w:rFonts w:cs="Times New Roman"/>
          <w:sz w:val="22"/>
          <w:vertAlign w:val="superscript"/>
          <w:lang w:val="en-US"/>
        </w:rPr>
        <w:t>5</w:t>
      </w:r>
      <w:r w:rsidRPr="00B12F32">
        <w:rPr>
          <w:rFonts w:cs="Times New Roman"/>
          <w:sz w:val="22"/>
        </w:rPr>
        <w:t>, trong đó năng lực chiến lược và định hướng sứ mệnh đóng vai trò trung tâm trong tái cấu trúc tổ chức.</w:t>
      </w:r>
    </w:p>
    <w:p w14:paraId="3B6F5D44" w14:textId="60B7514A"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Trong các văn kiện chiến lược </w:t>
      </w:r>
      <w:r w:rsidR="004E3FCD" w:rsidRPr="00B12F32">
        <w:rPr>
          <w:rFonts w:cs="Times New Roman"/>
          <w:sz w:val="22"/>
          <w:lang w:val="en-US"/>
        </w:rPr>
        <w:t xml:space="preserve">của WUR, </w:t>
      </w:r>
      <w:r w:rsidRPr="00B12F32">
        <w:rPr>
          <w:rFonts w:cs="Times New Roman"/>
          <w:sz w:val="22"/>
        </w:rPr>
        <w:t xml:space="preserve">đặc biệt là </w:t>
      </w:r>
      <w:r w:rsidR="004E3FCD" w:rsidRPr="00B12F32">
        <w:rPr>
          <w:rFonts w:cs="Times New Roman"/>
          <w:sz w:val="22"/>
          <w:lang w:val="en-US"/>
        </w:rPr>
        <w:t>“tầm nhìn về giáo dục”</w:t>
      </w:r>
      <w:r w:rsidR="004E3FCD" w:rsidRPr="00B12F32">
        <w:rPr>
          <w:rFonts w:cs="Times New Roman"/>
          <w:sz w:val="22"/>
          <w:vertAlign w:val="superscript"/>
          <w:lang w:val="en-US"/>
        </w:rPr>
        <w:t xml:space="preserve">10,  </w:t>
      </w:r>
      <w:r w:rsidR="004E3FCD" w:rsidRPr="00B12F32">
        <w:rPr>
          <w:rFonts w:cs="Times New Roman"/>
          <w:sz w:val="22"/>
          <w:lang w:val="en-US"/>
        </w:rPr>
        <w:t xml:space="preserve">Kế hoạch chiến lược </w:t>
      </w:r>
      <w:r w:rsidRPr="00B12F32">
        <w:rPr>
          <w:rFonts w:cs="Times New Roman"/>
          <w:sz w:val="22"/>
        </w:rPr>
        <w:t>2019–2022</w:t>
      </w:r>
      <w:r w:rsidR="004E3FCD" w:rsidRPr="00B12F32">
        <w:rPr>
          <w:rFonts w:cs="Times New Roman"/>
          <w:sz w:val="22"/>
          <w:vertAlign w:val="superscript"/>
          <w:lang w:val="en-US"/>
        </w:rPr>
        <w:t>12</w:t>
      </w:r>
      <w:r w:rsidRPr="00B12F32">
        <w:rPr>
          <w:rFonts w:cs="Times New Roman"/>
          <w:sz w:val="22"/>
        </w:rPr>
        <w:t xml:space="preserve"> và </w:t>
      </w:r>
      <w:r w:rsidR="004E3FCD" w:rsidRPr="00B12F32">
        <w:rPr>
          <w:rFonts w:cs="Times New Roman"/>
          <w:sz w:val="22"/>
          <w:lang w:val="en-US"/>
        </w:rPr>
        <w:t xml:space="preserve">Kế hoạch chiến lược </w:t>
      </w:r>
      <w:r w:rsidRPr="00B12F32">
        <w:rPr>
          <w:rFonts w:cs="Times New Roman"/>
          <w:sz w:val="22"/>
        </w:rPr>
        <w:t>2025–2028</w:t>
      </w:r>
      <w:r w:rsidR="004E3FCD" w:rsidRPr="00B12F32">
        <w:rPr>
          <w:rFonts w:cs="Times New Roman"/>
          <w:sz w:val="22"/>
          <w:vertAlign w:val="superscript"/>
          <w:lang w:val="en-US"/>
        </w:rPr>
        <w:t>20</w:t>
      </w:r>
      <w:r w:rsidRPr="00B12F32">
        <w:rPr>
          <w:rFonts w:cs="Times New Roman"/>
          <w:sz w:val="22"/>
        </w:rPr>
        <w:t>, phát triển bền vững được xác lập như nền tảng cho toàn bộ hoạt động nghiên cứu, giáo dục và hợp tác xã hội. Tuyên bố sứ mệnh “</w:t>
      </w:r>
      <w:r w:rsidR="004E3FCD" w:rsidRPr="00B12F32">
        <w:rPr>
          <w:rFonts w:cs="Times New Roman"/>
          <w:sz w:val="22"/>
          <w:lang w:val="en-US"/>
        </w:rPr>
        <w:t>khám phá tiềm năng thiên nhiên để nâng cao chất lượ</w:t>
      </w:r>
      <w:r w:rsidR="007A04F3" w:rsidRPr="00B12F32">
        <w:rPr>
          <w:rFonts w:cs="Times New Roman"/>
          <w:sz w:val="22"/>
          <w:lang w:val="en-US"/>
        </w:rPr>
        <w:t>ng</w:t>
      </w:r>
      <w:r w:rsidR="004E3FCD" w:rsidRPr="00B12F32">
        <w:rPr>
          <w:rFonts w:cs="Times New Roman"/>
          <w:sz w:val="22"/>
          <w:lang w:val="en-US"/>
        </w:rPr>
        <w:t xml:space="preserve"> cuộc sống”</w:t>
      </w:r>
      <w:r w:rsidR="00AB20FB" w:rsidRPr="00B12F32">
        <w:rPr>
          <w:rFonts w:cs="Times New Roman"/>
          <w:sz w:val="22"/>
          <w:lang w:val="en-US"/>
        </w:rPr>
        <w:t xml:space="preserve"> (</w:t>
      </w:r>
      <w:r w:rsidR="00AB20FB" w:rsidRPr="00B12F32">
        <w:rPr>
          <w:sz w:val="22"/>
        </w:rPr>
        <w:t>To explore the potential of nature to improve the quality of life</w:t>
      </w:r>
      <w:r w:rsidR="00AB20FB" w:rsidRPr="00B12F32">
        <w:rPr>
          <w:rFonts w:cs="Times New Roman"/>
          <w:sz w:val="22"/>
          <w:lang w:val="en-US"/>
        </w:rPr>
        <w:t>)</w:t>
      </w:r>
      <w:r w:rsidR="00977F99" w:rsidRPr="00B12F32">
        <w:rPr>
          <w:rFonts w:cs="Times New Roman"/>
          <w:sz w:val="22"/>
          <w:vertAlign w:val="superscript"/>
          <w:lang w:val="en-US"/>
        </w:rPr>
        <w:t>21</w:t>
      </w:r>
      <w:r w:rsidR="004E3FCD" w:rsidRPr="00B12F32">
        <w:rPr>
          <w:rFonts w:cs="Times New Roman"/>
          <w:sz w:val="22"/>
          <w:lang w:val="en-US"/>
        </w:rPr>
        <w:t xml:space="preserve"> </w:t>
      </w:r>
      <w:r w:rsidRPr="00B12F32">
        <w:rPr>
          <w:rFonts w:cs="Times New Roman"/>
          <w:sz w:val="22"/>
        </w:rPr>
        <w:t>được cụ thể hóa thông qua các ưu tiên chiến lược liên quan đến hệ thống lương thực bền vững, chuyển đổi năng lượng sinh học, quản trị tài nguyên và kinh tế tuần hoàn. Theo Mol</w:t>
      </w:r>
      <w:r w:rsidR="00977F99" w:rsidRPr="00B12F32">
        <w:rPr>
          <w:rFonts w:cs="Times New Roman"/>
          <w:sz w:val="22"/>
          <w:vertAlign w:val="superscript"/>
          <w:lang w:val="en-US"/>
        </w:rPr>
        <w:t>7</w:t>
      </w:r>
      <w:r w:rsidRPr="00B12F32">
        <w:rPr>
          <w:rFonts w:cs="Times New Roman"/>
          <w:sz w:val="22"/>
        </w:rPr>
        <w:t>, định hướng này phản ánh quá trình tái định vị WUR trong bối cảnh toàn cầu hóa và biến đổi môi trường, nơi khoa học không còn trung lập mà gắn với trách nhiệm xã hội.</w:t>
      </w:r>
    </w:p>
    <w:p w14:paraId="3A59CD79" w14:textId="6383691E"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Việc tích hợp Chương trình </w:t>
      </w:r>
      <w:r w:rsidR="00AB20FB" w:rsidRPr="00B12F32">
        <w:rPr>
          <w:rFonts w:cs="Times New Roman"/>
          <w:sz w:val="22"/>
          <w:lang w:val="en-US"/>
        </w:rPr>
        <w:t>n</w:t>
      </w:r>
      <w:r w:rsidRPr="00B12F32">
        <w:rPr>
          <w:rFonts w:cs="Times New Roman"/>
          <w:sz w:val="22"/>
        </w:rPr>
        <w:t xml:space="preserve">ghị sự 2030 và các Mục tiêu </w:t>
      </w:r>
      <w:r w:rsidR="007A04F3" w:rsidRPr="00B12F32">
        <w:rPr>
          <w:rFonts w:cs="Times New Roman"/>
          <w:sz w:val="22"/>
          <w:lang w:val="en-US"/>
        </w:rPr>
        <w:t>p</w:t>
      </w:r>
      <w:r w:rsidRPr="00B12F32">
        <w:rPr>
          <w:rFonts w:cs="Times New Roman"/>
          <w:sz w:val="22"/>
        </w:rPr>
        <w:t xml:space="preserve">hát triển </w:t>
      </w:r>
      <w:r w:rsidR="00AB20FB" w:rsidRPr="00B12F32">
        <w:rPr>
          <w:rFonts w:cs="Times New Roman"/>
          <w:sz w:val="22"/>
          <w:lang w:val="en-US"/>
        </w:rPr>
        <w:t>b</w:t>
      </w:r>
      <w:r w:rsidRPr="00B12F32">
        <w:rPr>
          <w:rFonts w:cs="Times New Roman"/>
          <w:sz w:val="22"/>
        </w:rPr>
        <w:t>ền vững (SDGs) của Liên Hợp Quốc</w:t>
      </w:r>
      <w:r w:rsidR="00AB20FB" w:rsidRPr="00B12F32">
        <w:rPr>
          <w:rFonts w:cs="Times New Roman"/>
          <w:sz w:val="22"/>
          <w:vertAlign w:val="superscript"/>
          <w:lang w:val="en-US"/>
        </w:rPr>
        <w:t>9</w:t>
      </w:r>
      <w:r w:rsidRPr="00B12F32">
        <w:rPr>
          <w:rFonts w:cs="Times New Roman"/>
          <w:sz w:val="22"/>
        </w:rPr>
        <w:t xml:space="preserve"> vào chiến lược dài hạn cho thấy WUR đã chuyển từ mức độ “cam kết chính sách” sang “thể chế hóa vận hành”. Báo cáo WUR</w:t>
      </w:r>
      <w:r w:rsidR="00AB20FB" w:rsidRPr="00B12F32">
        <w:rPr>
          <w:rFonts w:cs="Times New Roman"/>
          <w:sz w:val="22"/>
          <w:lang w:val="en-US"/>
        </w:rPr>
        <w:t xml:space="preserve"> và các mục tiêu phát triển bền vững</w:t>
      </w:r>
      <w:r w:rsidR="00AB20FB" w:rsidRPr="00B12F32">
        <w:rPr>
          <w:rFonts w:cs="Times New Roman"/>
          <w:sz w:val="22"/>
          <w:vertAlign w:val="superscript"/>
          <w:lang w:val="en-US"/>
        </w:rPr>
        <w:t>14</w:t>
      </w:r>
      <w:r w:rsidRPr="00B12F32">
        <w:rPr>
          <w:rFonts w:cs="Times New Roman"/>
          <w:sz w:val="22"/>
        </w:rPr>
        <w:t xml:space="preserve"> minh chứng cách các SDGs được ánh xạ vào chương trình nghiên cứu, chỉ số đánh giá tác động và hệ thống báo cáo thường niên. Trong </w:t>
      </w:r>
      <w:r w:rsidR="00AB20FB" w:rsidRPr="00B12F32">
        <w:rPr>
          <w:rFonts w:cs="Times New Roman"/>
          <w:sz w:val="22"/>
          <w:lang w:val="en-US"/>
        </w:rPr>
        <w:t xml:space="preserve">Báo cáo phát triển bền vững </w:t>
      </w:r>
      <w:r w:rsidRPr="00B12F32">
        <w:rPr>
          <w:rFonts w:cs="Times New Roman"/>
          <w:sz w:val="22"/>
        </w:rPr>
        <w:t>2022</w:t>
      </w:r>
      <w:r w:rsidR="00AB20FB" w:rsidRPr="00B12F32">
        <w:rPr>
          <w:rFonts w:cs="Times New Roman"/>
          <w:sz w:val="22"/>
          <w:vertAlign w:val="superscript"/>
          <w:lang w:val="en-US"/>
        </w:rPr>
        <w:t>17</w:t>
      </w:r>
      <w:r w:rsidRPr="00B12F32">
        <w:rPr>
          <w:rFonts w:cs="Times New Roman"/>
          <w:sz w:val="22"/>
        </w:rPr>
        <w:t>, các chỉ số phát thải carbon, sử dụng năng lượng tái tạo và hợp tác công</w:t>
      </w:r>
      <w:r w:rsidR="00AB20FB" w:rsidRPr="00B12F32">
        <w:rPr>
          <w:rFonts w:cs="Times New Roman"/>
          <w:sz w:val="22"/>
          <w:lang w:val="en-US"/>
        </w:rPr>
        <w:t xml:space="preserve"> </w:t>
      </w:r>
      <w:r w:rsidRPr="00B12F32">
        <w:rPr>
          <w:rFonts w:cs="Times New Roman"/>
          <w:sz w:val="22"/>
        </w:rPr>
        <w:t>–</w:t>
      </w:r>
      <w:r w:rsidR="00AB20FB" w:rsidRPr="00B12F32">
        <w:rPr>
          <w:rFonts w:cs="Times New Roman"/>
          <w:sz w:val="22"/>
          <w:lang w:val="en-US"/>
        </w:rPr>
        <w:t xml:space="preserve"> </w:t>
      </w:r>
      <w:r w:rsidRPr="00B12F32">
        <w:rPr>
          <w:rFonts w:cs="Times New Roman"/>
          <w:sz w:val="22"/>
        </w:rPr>
        <w:t>tư được công bố như thành phần của quản trị minh bạch. Điều này phù hợp với xu hướng quản trị bền vững trong chuỗi cung ứng và hệ thống thực phẩm toàn cầu</w:t>
      </w:r>
      <w:r w:rsidR="00AB20FB" w:rsidRPr="00B12F32">
        <w:rPr>
          <w:rFonts w:cs="Times New Roman"/>
          <w:sz w:val="22"/>
          <w:vertAlign w:val="superscript"/>
          <w:lang w:val="en-US"/>
        </w:rPr>
        <w:t>4,8</w:t>
      </w:r>
      <w:r w:rsidRPr="00B12F32">
        <w:rPr>
          <w:rFonts w:cs="Times New Roman"/>
          <w:sz w:val="22"/>
        </w:rPr>
        <w:t>.</w:t>
      </w:r>
    </w:p>
    <w:p w14:paraId="222C77A5" w14:textId="63F3FFE8"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Ở cấp độ giáo dục, </w:t>
      </w:r>
      <w:r w:rsidR="00DC36A6" w:rsidRPr="00B12F32">
        <w:rPr>
          <w:rFonts w:cs="Times New Roman"/>
          <w:sz w:val="22"/>
          <w:lang w:val="en-US"/>
        </w:rPr>
        <w:t>“</w:t>
      </w:r>
      <w:r w:rsidRPr="00B12F32">
        <w:rPr>
          <w:rFonts w:cs="Times New Roman"/>
          <w:sz w:val="22"/>
        </w:rPr>
        <w:t xml:space="preserve">tầm nhìn </w:t>
      </w:r>
      <w:r w:rsidR="00DC36A6" w:rsidRPr="00B12F32">
        <w:rPr>
          <w:rFonts w:cs="Times New Roman"/>
          <w:sz w:val="22"/>
          <w:lang w:val="en-US"/>
        </w:rPr>
        <w:t>về giáo dục”</w:t>
      </w:r>
      <w:r w:rsidR="00DC36A6" w:rsidRPr="00B12F32">
        <w:rPr>
          <w:rFonts w:cs="Times New Roman"/>
          <w:sz w:val="22"/>
          <w:vertAlign w:val="superscript"/>
          <w:lang w:val="en-US"/>
        </w:rPr>
        <w:t>10</w:t>
      </w:r>
      <w:r w:rsidRPr="00B12F32">
        <w:rPr>
          <w:rFonts w:cs="Times New Roman"/>
          <w:sz w:val="22"/>
        </w:rPr>
        <w:t xml:space="preserve"> và đặc biệt là </w:t>
      </w:r>
      <w:r w:rsidR="00DC36A6" w:rsidRPr="00B12F32">
        <w:rPr>
          <w:rFonts w:cs="Times New Roman"/>
          <w:sz w:val="22"/>
          <w:lang w:val="en-US"/>
        </w:rPr>
        <w:t>“những tác nhân thay đổi có trách nhiệm vì khoa học và xã hội”</w:t>
      </w:r>
      <w:r w:rsidR="00DC36A6" w:rsidRPr="00B12F32">
        <w:rPr>
          <w:rFonts w:cs="Times New Roman"/>
          <w:sz w:val="22"/>
          <w:vertAlign w:val="superscript"/>
          <w:lang w:val="en-US"/>
        </w:rPr>
        <w:t>19</w:t>
      </w:r>
      <w:r w:rsidRPr="00B12F32">
        <w:rPr>
          <w:rFonts w:cs="Times New Roman"/>
          <w:sz w:val="22"/>
        </w:rPr>
        <w:t xml:space="preserve"> khẳng định mục tiêu đào tạo những tác nhân có trách nhiệm trong chuyển đổi xã hội. Như Arief Jusuf và Natalia</w:t>
      </w:r>
      <w:r w:rsidR="00DC36A6" w:rsidRPr="00B12F32">
        <w:rPr>
          <w:rFonts w:cs="Times New Roman"/>
          <w:sz w:val="22"/>
          <w:vertAlign w:val="superscript"/>
          <w:lang w:val="en-US"/>
        </w:rPr>
        <w:t xml:space="preserve">1 </w:t>
      </w:r>
      <w:r w:rsidRPr="00B12F32">
        <w:rPr>
          <w:rFonts w:cs="Times New Roman"/>
          <w:sz w:val="22"/>
        </w:rPr>
        <w:t xml:space="preserve">chỉ ra, WUR không chỉ tích hợp nội dung bền vững vào chương trình học, </w:t>
      </w:r>
      <w:r w:rsidRPr="00B12F32">
        <w:rPr>
          <w:rFonts w:cs="Times New Roman"/>
          <w:sz w:val="22"/>
        </w:rPr>
        <w:lastRenderedPageBreak/>
        <w:t>mà còn định hình phương pháp tiếp cận liên ngành và học tập dựa trên thách thức thực tiễn. Nhờ đó, sứ mệnh bền vững không tách rời nghiên cứu mà xuyên suốt ba chức năng cốt lõi của đại học.</w:t>
      </w:r>
    </w:p>
    <w:p w14:paraId="1EF6C2DF" w14:textId="3354F03D"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Chiến lược định hướng sứ mệnh này cũng có thể được hiểu qua lăng kính </w:t>
      </w:r>
      <w:r w:rsidR="00DC36A6" w:rsidRPr="00B12F32">
        <w:rPr>
          <w:rFonts w:cs="Times New Roman"/>
          <w:sz w:val="22"/>
          <w:lang w:val="en-US"/>
        </w:rPr>
        <w:t>“ba nhà”</w:t>
      </w:r>
      <w:r w:rsidR="00DC36A6" w:rsidRPr="00B12F32">
        <w:rPr>
          <w:rFonts w:cs="Times New Roman"/>
          <w:sz w:val="22"/>
          <w:vertAlign w:val="superscript"/>
          <w:lang w:val="en-US"/>
        </w:rPr>
        <w:t>6</w:t>
      </w:r>
      <w:r w:rsidRPr="00B12F32">
        <w:rPr>
          <w:rFonts w:cs="Times New Roman"/>
          <w:sz w:val="22"/>
        </w:rPr>
        <w:t>, khi WUR chủ động định vị mình như một trung tâm kết nối giữa khoa học, doanh nghiệp và nhà nước trong giải quyết các vấn đề toàn cầu. Các báo cáo thường niên</w:t>
      </w:r>
      <w:r w:rsidR="00DC36A6" w:rsidRPr="00B12F32">
        <w:rPr>
          <w:rFonts w:cs="Times New Roman"/>
          <w:sz w:val="22"/>
          <w:vertAlign w:val="superscript"/>
          <w:lang w:val="en-US"/>
        </w:rPr>
        <w:t>11,17</w:t>
      </w:r>
      <w:r w:rsidRPr="00B12F32">
        <w:rPr>
          <w:rFonts w:cs="Times New Roman"/>
          <w:sz w:val="22"/>
        </w:rPr>
        <w:t xml:space="preserve"> cho thấy tỷ trọng lớn các dự án hợp tác quốc tế và đối tác công</w:t>
      </w:r>
      <w:r w:rsidR="00DC36A6" w:rsidRPr="00B12F32">
        <w:rPr>
          <w:rFonts w:cs="Times New Roman"/>
          <w:sz w:val="22"/>
          <w:lang w:val="en-US"/>
        </w:rPr>
        <w:t xml:space="preserve"> </w:t>
      </w:r>
      <w:r w:rsidRPr="00B12F32">
        <w:rPr>
          <w:rFonts w:cs="Times New Roman"/>
          <w:sz w:val="22"/>
        </w:rPr>
        <w:t>–</w:t>
      </w:r>
      <w:r w:rsidR="00DC36A6" w:rsidRPr="00B12F32">
        <w:rPr>
          <w:rFonts w:cs="Times New Roman"/>
          <w:sz w:val="22"/>
          <w:lang w:val="en-US"/>
        </w:rPr>
        <w:t xml:space="preserve"> </w:t>
      </w:r>
      <w:r w:rsidRPr="00B12F32">
        <w:rPr>
          <w:rFonts w:cs="Times New Roman"/>
          <w:sz w:val="22"/>
        </w:rPr>
        <w:t>tư, phản ánh sự gắn kết giữa chiến lược học thuật và nhu cầu xã hội.</w:t>
      </w:r>
    </w:p>
    <w:p w14:paraId="7B9E94E3" w14:textId="5114E49D" w:rsidR="001C01E3" w:rsidRPr="00B12F32" w:rsidRDefault="00DC36A6" w:rsidP="00FE1421">
      <w:pPr>
        <w:spacing w:before="120" w:after="120" w:line="240" w:lineRule="auto"/>
        <w:ind w:firstLine="567"/>
        <w:jc w:val="both"/>
        <w:rPr>
          <w:rFonts w:cs="Times New Roman"/>
          <w:sz w:val="22"/>
        </w:rPr>
      </w:pPr>
      <w:r w:rsidRPr="00B12F32">
        <w:rPr>
          <w:rFonts w:cs="Times New Roman"/>
          <w:sz w:val="22"/>
          <w:lang w:val="en-US"/>
        </w:rPr>
        <w:t xml:space="preserve">Có thể khẳng định, </w:t>
      </w:r>
      <w:r w:rsidR="001C01E3" w:rsidRPr="00B12F32">
        <w:rPr>
          <w:rFonts w:cs="Times New Roman"/>
          <w:sz w:val="22"/>
        </w:rPr>
        <w:t>định hướng sứ mệnh và chiến lược bền vững tại WUR không đơn thuần là khẩu hiệu, mà là một cấu trúc quản trị được thể chế hóa thông qua kế hoạch dài hạn, hệ thống chỉ số, cơ chế báo cáo và thiết kế chương trình đào tạo. Sự tích hợp này tạo nên nền tảng cho các cấp độ tổ chức và hệ sinh thái được phân tích ở các mục tiếp theo, đồng thời cho thấy phát triển bền vững có thể trở thành nguồn lực nâng cao năng lực cạnh tranh học thuật thay vì làm suy giảm tính tự chủ khoa học.</w:t>
      </w:r>
    </w:p>
    <w:p w14:paraId="4490916D" w14:textId="7D891524" w:rsidR="001C01E3" w:rsidRPr="00FE1421" w:rsidRDefault="001C01E3" w:rsidP="00B12F32">
      <w:pPr>
        <w:spacing w:before="120" w:after="120" w:line="240" w:lineRule="auto"/>
        <w:jc w:val="both"/>
        <w:rPr>
          <w:rFonts w:cs="Times New Roman"/>
          <w:b/>
          <w:bCs/>
          <w:sz w:val="22"/>
        </w:rPr>
      </w:pPr>
      <w:r w:rsidRPr="00FE1421">
        <w:rPr>
          <w:rFonts w:cs="Times New Roman"/>
          <w:b/>
          <w:bCs/>
          <w:sz w:val="22"/>
        </w:rPr>
        <w:t xml:space="preserve">3.2. Thiết kế tổ chức và mô hình </w:t>
      </w:r>
      <w:r w:rsidR="00DC36A6" w:rsidRPr="00FE1421">
        <w:rPr>
          <w:rFonts w:cs="Times New Roman"/>
          <w:b/>
          <w:bCs/>
          <w:sz w:val="22"/>
          <w:lang w:val="en-US"/>
        </w:rPr>
        <w:t>nhóm nghiên cứu</w:t>
      </w:r>
    </w:p>
    <w:p w14:paraId="7927E427" w14:textId="1A431CCA"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Nếu định hướng sứ mệnh tạo nên “trục giá trị” của WUR, thì thiết kế tổ chức và mô hình</w:t>
      </w:r>
      <w:r w:rsidR="004D19C4" w:rsidRPr="00B12F32">
        <w:rPr>
          <w:rFonts w:cs="Times New Roman"/>
          <w:sz w:val="22"/>
          <w:lang w:val="en-US"/>
        </w:rPr>
        <w:t xml:space="preserve"> nhóm nghiên cứu </w:t>
      </w:r>
      <w:r w:rsidRPr="00B12F32">
        <w:rPr>
          <w:rFonts w:cs="Times New Roman"/>
          <w:sz w:val="22"/>
        </w:rPr>
        <w:t>chính là hạ tầng thể chế bảo đảm cho chiến lược ấy được vận hành hiệu quả. Trong lý thuyết về đại học khởi nghiệp, Clark</w:t>
      </w:r>
      <w:r w:rsidR="004D19C4" w:rsidRPr="00B12F32">
        <w:rPr>
          <w:rFonts w:cs="Times New Roman"/>
          <w:sz w:val="22"/>
          <w:vertAlign w:val="superscript"/>
          <w:lang w:val="en-US"/>
        </w:rPr>
        <w:t>5</w:t>
      </w:r>
      <w:r w:rsidRPr="00B12F32">
        <w:rPr>
          <w:rFonts w:cs="Times New Roman"/>
          <w:sz w:val="22"/>
        </w:rPr>
        <w:t xml:space="preserve"> nhấn mạnh vai trò của “</w:t>
      </w:r>
      <w:r w:rsidR="004D19C4" w:rsidRPr="00B12F32">
        <w:rPr>
          <w:rFonts w:cs="Times New Roman"/>
          <w:sz w:val="22"/>
          <w:lang w:val="en-US"/>
        </w:rPr>
        <w:t>đơn vị vệ tinh”</w:t>
      </w:r>
      <w:r w:rsidRPr="00B12F32">
        <w:rPr>
          <w:rFonts w:cs="Times New Roman"/>
          <w:sz w:val="22"/>
        </w:rPr>
        <w:t xml:space="preserve"> và cấu trúc linh hoạt trong việc thúc đẩy đổi mới và thích ứng tổ chức. Trường hợp WUR cho thấy một biến thể đặc thù: thay vì phân tách cứng giữa khoa, viện và trung tâm nghiên cứu, nhà trường tổ chức các đơn vị học thuật theo mô hình </w:t>
      </w:r>
      <w:r w:rsidR="004D19C4" w:rsidRPr="00B12F32">
        <w:rPr>
          <w:rFonts w:cs="Times New Roman"/>
          <w:sz w:val="22"/>
          <w:lang w:val="en-US"/>
        </w:rPr>
        <w:t>nhóm nghiên cứu</w:t>
      </w:r>
      <w:r w:rsidRPr="00B12F32">
        <w:rPr>
          <w:rFonts w:cs="Times New Roman"/>
          <w:sz w:val="22"/>
        </w:rPr>
        <w:t xml:space="preserve"> – mỗi nhóm do một giáo sư đứng đầu, tích hợp đồng thời nghiên cứu, giảng dạy và hợp tác xã hội.</w:t>
      </w:r>
    </w:p>
    <w:p w14:paraId="0A68990B" w14:textId="4BE4650D"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Theo tài liệu </w:t>
      </w:r>
      <w:r w:rsidR="004D19C4" w:rsidRPr="00B12F32">
        <w:rPr>
          <w:rFonts w:cs="Times New Roman"/>
          <w:sz w:val="22"/>
          <w:lang w:val="en-US"/>
        </w:rPr>
        <w:t>“Các nhóm nghiên cứu và cơ cấu quản trị”</w:t>
      </w:r>
      <w:r w:rsidR="004D19C4" w:rsidRPr="00B12F32">
        <w:rPr>
          <w:rFonts w:cs="Times New Roman"/>
          <w:sz w:val="22"/>
          <w:vertAlign w:val="superscript"/>
          <w:lang w:val="en-US"/>
        </w:rPr>
        <w:t>15</w:t>
      </w:r>
      <w:r w:rsidRPr="00B12F32">
        <w:rPr>
          <w:rFonts w:cs="Times New Roman"/>
          <w:sz w:val="22"/>
        </w:rPr>
        <w:t xml:space="preserve">, </w:t>
      </w:r>
      <w:r w:rsidR="004D19C4" w:rsidRPr="00B12F32">
        <w:rPr>
          <w:rFonts w:cs="Times New Roman"/>
          <w:sz w:val="22"/>
          <w:lang w:val="en-US"/>
        </w:rPr>
        <w:t xml:space="preserve">nhóm nghiên cứu </w:t>
      </w:r>
      <w:r w:rsidRPr="00B12F32">
        <w:rPr>
          <w:rFonts w:cs="Times New Roman"/>
          <w:sz w:val="22"/>
        </w:rPr>
        <w:t>không chỉ là đơn vị chuyên môn mà còn là hạt nhân chiến lược trong phân bổ nguồn lực và phát triển nhân sự. Mỗi nhóm có quyền tự chủ cao trong xây dựng chương trình nghiên cứu, thu hút tài trợ và thiết kế học phần, song vẫn gắn với định hướng chung của trường thông qua cơ chế điều phối cấp đại học. Cấu trúc này cho phép kết nối chặt chẽ giữa nghiên cứu cơ bản, ứng dụng và đào tạo sau đại học, đồng thời tránh tình trạng phân mảnh giữa các khoa.</w:t>
      </w:r>
    </w:p>
    <w:p w14:paraId="69C3EB9F" w14:textId="6CCE3988"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Sự tích hợp này phù hợp với logic </w:t>
      </w:r>
      <w:r w:rsidR="004D19C4" w:rsidRPr="00B12F32">
        <w:rPr>
          <w:rFonts w:cs="Times New Roman"/>
          <w:sz w:val="22"/>
          <w:lang w:val="en-US"/>
        </w:rPr>
        <w:t>“ba nhà”</w:t>
      </w:r>
      <w:r w:rsidR="004D19C4" w:rsidRPr="00B12F32">
        <w:rPr>
          <w:rFonts w:cs="Times New Roman"/>
          <w:sz w:val="22"/>
          <w:vertAlign w:val="superscript"/>
          <w:lang w:val="en-US"/>
        </w:rPr>
        <w:t>6</w:t>
      </w:r>
      <w:r w:rsidRPr="00B12F32">
        <w:rPr>
          <w:rFonts w:cs="Times New Roman"/>
          <w:sz w:val="22"/>
        </w:rPr>
        <w:t>, khi đại học không còn là thực thể tách biệt mà trở thành tác nhân trung tâm trong mạng lưới hợp tác với doanh nghiệp và chính phủ. Các báo cáo chiến lược gần đây</w:t>
      </w:r>
      <w:r w:rsidR="004D19C4" w:rsidRPr="00B12F32">
        <w:rPr>
          <w:rFonts w:cs="Times New Roman"/>
          <w:sz w:val="22"/>
          <w:vertAlign w:val="superscript"/>
          <w:lang w:val="en-US"/>
        </w:rPr>
        <w:t>18,19,20</w:t>
      </w:r>
      <w:r w:rsidRPr="00B12F32">
        <w:rPr>
          <w:rFonts w:cs="Times New Roman"/>
          <w:sz w:val="22"/>
        </w:rPr>
        <w:t xml:space="preserve"> cho thấy các </w:t>
      </w:r>
      <w:r w:rsidR="004D19C4" w:rsidRPr="00B12F32">
        <w:rPr>
          <w:rFonts w:cs="Times New Roman"/>
          <w:sz w:val="22"/>
          <w:lang w:val="en-US"/>
        </w:rPr>
        <w:t xml:space="preserve">nhóm nghiên cứu </w:t>
      </w:r>
      <w:r w:rsidRPr="00B12F32">
        <w:rPr>
          <w:rFonts w:cs="Times New Roman"/>
          <w:sz w:val="22"/>
        </w:rPr>
        <w:t>thường tham gia trực tiếp vào dự án hợp tác công</w:t>
      </w:r>
      <w:r w:rsidR="004D19C4" w:rsidRPr="00B12F32">
        <w:rPr>
          <w:rFonts w:cs="Times New Roman"/>
          <w:sz w:val="22"/>
          <w:lang w:val="en-US"/>
        </w:rPr>
        <w:t xml:space="preserve"> </w:t>
      </w:r>
      <w:r w:rsidRPr="00B12F32">
        <w:rPr>
          <w:rFonts w:cs="Times New Roman"/>
          <w:sz w:val="22"/>
        </w:rPr>
        <w:t>–</w:t>
      </w:r>
      <w:r w:rsidR="004D19C4" w:rsidRPr="00B12F32">
        <w:rPr>
          <w:rFonts w:cs="Times New Roman"/>
          <w:sz w:val="22"/>
          <w:lang w:val="en-US"/>
        </w:rPr>
        <w:t xml:space="preserve"> </w:t>
      </w:r>
      <w:r w:rsidRPr="00B12F32">
        <w:rPr>
          <w:rFonts w:cs="Times New Roman"/>
          <w:sz w:val="22"/>
        </w:rPr>
        <w:t xml:space="preserve">tư, góp phần chuyển giao tri thức vào thực tiễn nông nghiệp – thực phẩm bền vững. Báo cáo </w:t>
      </w:r>
      <w:r w:rsidR="001D4D00" w:rsidRPr="00B12F32">
        <w:rPr>
          <w:rFonts w:cs="Times New Roman"/>
          <w:sz w:val="22"/>
          <w:lang w:val="en-US"/>
        </w:rPr>
        <w:t>Đổi mới sáng tạo và khởi nghiệp</w:t>
      </w:r>
      <w:r w:rsidR="001D4D00" w:rsidRPr="00B12F32">
        <w:rPr>
          <w:rFonts w:cs="Times New Roman"/>
          <w:sz w:val="22"/>
          <w:vertAlign w:val="superscript"/>
          <w:lang w:val="en-US"/>
        </w:rPr>
        <w:t>16</w:t>
      </w:r>
      <w:r w:rsidRPr="00B12F32">
        <w:rPr>
          <w:rFonts w:cs="Times New Roman"/>
          <w:sz w:val="22"/>
        </w:rPr>
        <w:t xml:space="preserve"> và </w:t>
      </w:r>
      <w:r w:rsidR="001D4D00" w:rsidRPr="00B12F32">
        <w:rPr>
          <w:rFonts w:cs="Times New Roman"/>
          <w:sz w:val="22"/>
          <w:lang w:val="en-US"/>
        </w:rPr>
        <w:t xml:space="preserve">báo cáo tác động </w:t>
      </w:r>
      <w:r w:rsidRPr="00B12F32">
        <w:rPr>
          <w:rFonts w:cs="Times New Roman"/>
          <w:sz w:val="22"/>
        </w:rPr>
        <w:t xml:space="preserve">Wageningen </w:t>
      </w:r>
      <w:r w:rsidR="001D4D00" w:rsidRPr="00B12F32">
        <w:rPr>
          <w:rFonts w:cs="Times New Roman"/>
          <w:sz w:val="22"/>
          <w:lang w:val="en-US"/>
        </w:rPr>
        <w:t>và hệ sinh thái khởi nghiệp</w:t>
      </w:r>
      <w:r w:rsidR="001D4D00" w:rsidRPr="00B12F32">
        <w:rPr>
          <w:rFonts w:cs="Times New Roman"/>
          <w:sz w:val="22"/>
          <w:vertAlign w:val="superscript"/>
          <w:lang w:val="en-US"/>
        </w:rPr>
        <w:t>18</w:t>
      </w:r>
      <w:r w:rsidRPr="00B12F32">
        <w:rPr>
          <w:rFonts w:cs="Times New Roman"/>
          <w:sz w:val="22"/>
        </w:rPr>
        <w:t xml:space="preserve"> minh chứng rằng nhiều sáng kiến khởi nghiệp và dự án đổi mới xuất phát từ các nhóm nghiên cứu này.</w:t>
      </w:r>
    </w:p>
    <w:p w14:paraId="1C332E8C" w14:textId="6366CE05"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Điểm đáng chú ý là mô hình </w:t>
      </w:r>
      <w:r w:rsidR="001D4D00" w:rsidRPr="00B12F32">
        <w:rPr>
          <w:rFonts w:cs="Times New Roman"/>
          <w:sz w:val="22"/>
          <w:lang w:val="en-US"/>
        </w:rPr>
        <w:t xml:space="preserve">nhóm nghiên cứu </w:t>
      </w:r>
      <w:r w:rsidRPr="00B12F32">
        <w:rPr>
          <w:rFonts w:cs="Times New Roman"/>
          <w:sz w:val="22"/>
        </w:rPr>
        <w:t xml:space="preserve">được vận hành trong một môi trường quản trị dựa trên dữ liệu và chuyển đổi số. Tài liệu </w:t>
      </w:r>
      <w:r w:rsidR="001D4D00" w:rsidRPr="00B12F32">
        <w:rPr>
          <w:rFonts w:cs="Times New Roman"/>
          <w:sz w:val="22"/>
          <w:lang w:val="en-US"/>
        </w:rPr>
        <w:t xml:space="preserve">Chuyển đổi số và nghiên cứu dựa trên dữ liệu tại </w:t>
      </w:r>
      <w:r w:rsidRPr="00B12F32">
        <w:rPr>
          <w:rFonts w:cs="Times New Roman"/>
          <w:sz w:val="22"/>
        </w:rPr>
        <w:t>WUR</w:t>
      </w:r>
      <w:r w:rsidR="001D4D00" w:rsidRPr="00B12F32">
        <w:rPr>
          <w:rFonts w:cs="Times New Roman"/>
          <w:sz w:val="22"/>
          <w:vertAlign w:val="superscript"/>
          <w:lang w:val="en-US"/>
        </w:rPr>
        <w:t>13</w:t>
      </w:r>
      <w:r w:rsidRPr="00B12F32">
        <w:rPr>
          <w:rFonts w:cs="Times New Roman"/>
          <w:sz w:val="22"/>
        </w:rPr>
        <w:t xml:space="preserve"> cho thấy hệ thống dữ liệu nghiên cứu và đánh giá hiệu suất được tích hợp nhằm hỗ trợ ra quyết định chiến lược. Nhờ đó, tự chủ học thuật không đồng nghĩa với phân tán quản trị; ngược lại, dữ liệu trở thành công cụ điều phối, bảo đảm các đơn vị vận hành phù hợp với định hướng bền vững chung.</w:t>
      </w:r>
    </w:p>
    <w:p w14:paraId="728D6708" w14:textId="531D6C28"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Từ góc độ quản trị bền vững, cấu trúc này cũng giúp WUR lồng ghép các mục tiêu SDGs vào từng đơn vị chuyên môn. Báo cáo WUR </w:t>
      </w:r>
      <w:r w:rsidR="001D4D00" w:rsidRPr="00B12F32">
        <w:rPr>
          <w:rFonts w:cs="Times New Roman"/>
          <w:sz w:val="22"/>
          <w:lang w:val="en-US"/>
        </w:rPr>
        <w:t xml:space="preserve">và </w:t>
      </w:r>
      <w:r w:rsidRPr="00B12F32">
        <w:rPr>
          <w:rFonts w:cs="Times New Roman"/>
          <w:sz w:val="22"/>
        </w:rPr>
        <w:t>SDGs</w:t>
      </w:r>
      <w:r w:rsidR="001D4D00" w:rsidRPr="00B12F32">
        <w:rPr>
          <w:rFonts w:cs="Times New Roman"/>
          <w:sz w:val="22"/>
          <w:vertAlign w:val="superscript"/>
          <w:lang w:val="en-US"/>
        </w:rPr>
        <w:t>14</w:t>
      </w:r>
      <w:r w:rsidRPr="00B12F32">
        <w:rPr>
          <w:rFonts w:cs="Times New Roman"/>
          <w:sz w:val="22"/>
        </w:rPr>
        <w:t xml:space="preserve"> và </w:t>
      </w:r>
      <w:r w:rsidR="001D4D00" w:rsidRPr="00B12F32">
        <w:rPr>
          <w:rFonts w:cs="Times New Roman"/>
          <w:sz w:val="22"/>
          <w:lang w:val="en-US"/>
        </w:rPr>
        <w:t>Báo cáo Phát triển bền v</w:t>
      </w:r>
      <w:r w:rsidR="007A04F3" w:rsidRPr="00B12F32">
        <w:rPr>
          <w:rFonts w:cs="Times New Roman"/>
          <w:sz w:val="22"/>
          <w:lang w:val="en-US"/>
        </w:rPr>
        <w:t>ữ</w:t>
      </w:r>
      <w:r w:rsidR="001D4D00" w:rsidRPr="00B12F32">
        <w:rPr>
          <w:rFonts w:cs="Times New Roman"/>
          <w:sz w:val="22"/>
          <w:lang w:val="en-US"/>
        </w:rPr>
        <w:t>ng 2022</w:t>
      </w:r>
      <w:r w:rsidR="001D4D00" w:rsidRPr="00B12F32">
        <w:rPr>
          <w:rFonts w:cs="Times New Roman"/>
          <w:sz w:val="22"/>
          <w:vertAlign w:val="superscript"/>
          <w:lang w:val="en-US"/>
        </w:rPr>
        <w:t>17</w:t>
      </w:r>
      <w:r w:rsidRPr="00B12F32">
        <w:rPr>
          <w:rFonts w:cs="Times New Roman"/>
          <w:sz w:val="22"/>
        </w:rPr>
        <w:t xml:space="preserve"> cho thấy mỗi nhóm nghiên cứu được khuyến khích xác định đóng góp cụ thể cho các mục tiêu phát triển bền vững. Điều này tạo nên sự liên thông giữa chiến lược thể chế và hoạt động học thuật hàng ngày.</w:t>
      </w:r>
    </w:p>
    <w:p w14:paraId="35B68442" w14:textId="242C2092"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Ở bình diện rộng hơn, thiết kế tổ chức của WUR có thể được xem như sự cụ thể hóa quan điểm về quản trị chuỗi cung ứng và hệ thống thực phẩm toàn cầu dựa trên trách nhiệm và minh bạch</w:t>
      </w:r>
      <w:r w:rsidR="001D4D00" w:rsidRPr="00B12F32">
        <w:rPr>
          <w:rFonts w:cs="Times New Roman"/>
          <w:sz w:val="22"/>
          <w:vertAlign w:val="superscript"/>
          <w:lang w:val="en-US"/>
        </w:rPr>
        <w:t>4,8</w:t>
      </w:r>
      <w:r w:rsidRPr="00B12F32">
        <w:rPr>
          <w:rFonts w:cs="Times New Roman"/>
          <w:sz w:val="22"/>
        </w:rPr>
        <w:t xml:space="preserve">. Các </w:t>
      </w:r>
      <w:r w:rsidR="001D4D00" w:rsidRPr="00B12F32">
        <w:rPr>
          <w:rFonts w:cs="Times New Roman"/>
          <w:sz w:val="22"/>
          <w:lang w:val="en-US"/>
        </w:rPr>
        <w:t xml:space="preserve">nhóm nghiên cứu </w:t>
      </w:r>
      <w:r w:rsidRPr="00B12F32">
        <w:rPr>
          <w:rFonts w:cs="Times New Roman"/>
          <w:sz w:val="22"/>
        </w:rPr>
        <w:t>hoạt động như nút kết nối trong mạng lưới tri thức toàn cầu, vừa duy trì chuyên môn sâu vừa mở rộng hợp tác liên ngành.</w:t>
      </w:r>
    </w:p>
    <w:p w14:paraId="35FCB69D" w14:textId="7026AA29" w:rsidR="001C01E3" w:rsidRPr="00B12F32" w:rsidRDefault="001D4D00" w:rsidP="00FE1421">
      <w:pPr>
        <w:spacing w:before="120" w:after="120" w:line="240" w:lineRule="auto"/>
        <w:ind w:firstLine="567"/>
        <w:jc w:val="both"/>
        <w:rPr>
          <w:rFonts w:cs="Times New Roman"/>
          <w:sz w:val="22"/>
        </w:rPr>
      </w:pPr>
      <w:r w:rsidRPr="00B12F32">
        <w:rPr>
          <w:rFonts w:cs="Times New Roman"/>
          <w:sz w:val="22"/>
          <w:lang w:val="en-US"/>
        </w:rPr>
        <w:t>Có thể khẳng định</w:t>
      </w:r>
      <w:r w:rsidR="001C01E3" w:rsidRPr="00B12F32">
        <w:rPr>
          <w:rFonts w:cs="Times New Roman"/>
          <w:sz w:val="22"/>
        </w:rPr>
        <w:t xml:space="preserve">, mô hình </w:t>
      </w:r>
      <w:r w:rsidRPr="00B12F32">
        <w:rPr>
          <w:rFonts w:cs="Times New Roman"/>
          <w:sz w:val="22"/>
          <w:lang w:val="en-US"/>
        </w:rPr>
        <w:t xml:space="preserve">nhóm nghiên cứu </w:t>
      </w:r>
      <w:r w:rsidR="001C01E3" w:rsidRPr="00B12F32">
        <w:rPr>
          <w:rFonts w:cs="Times New Roman"/>
          <w:sz w:val="22"/>
        </w:rPr>
        <w:t>cho thấy một cách tiếp cận cân bằng giữa tự chủ và điều phối, giữa chuyên sâu và liên ngành, giữa khoa học cơ bản và ứng dụng xã hội. Chính thiết kế tổ chức này tạo điều kiện để định hướng sứ mệnh bền vững không chỉ tồn tại ở cấp văn kiện chiến lược mà được hiện thực hóa trong cấu trúc vận hành hàng ngày của đại học.</w:t>
      </w:r>
    </w:p>
    <w:p w14:paraId="60663E3D" w14:textId="77777777" w:rsidR="001C01E3" w:rsidRPr="00FE1421" w:rsidRDefault="001C01E3" w:rsidP="00B12F32">
      <w:pPr>
        <w:spacing w:before="120" w:after="120" w:line="240" w:lineRule="auto"/>
        <w:jc w:val="both"/>
        <w:rPr>
          <w:rFonts w:cs="Times New Roman"/>
          <w:b/>
          <w:bCs/>
          <w:sz w:val="22"/>
        </w:rPr>
      </w:pPr>
      <w:r w:rsidRPr="00FE1421">
        <w:rPr>
          <w:rFonts w:cs="Times New Roman"/>
          <w:b/>
          <w:bCs/>
          <w:sz w:val="22"/>
        </w:rPr>
        <w:t>3.3. Chuyển đổi số và quản trị dựa trên dữ liệu</w:t>
      </w:r>
    </w:p>
    <w:p w14:paraId="4D6EA0EC" w14:textId="2EE685ED"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Nếu định hướng sứ mệnh tạo ra “la bàn chiến lược” và mô hình </w:t>
      </w:r>
      <w:r w:rsidR="001D4D00" w:rsidRPr="00B12F32">
        <w:rPr>
          <w:rFonts w:cs="Times New Roman"/>
          <w:sz w:val="22"/>
          <w:lang w:val="en-US"/>
        </w:rPr>
        <w:t xml:space="preserve">nhóm nghiên cứu </w:t>
      </w:r>
      <w:r w:rsidRPr="00B12F32">
        <w:rPr>
          <w:rFonts w:cs="Times New Roman"/>
          <w:sz w:val="22"/>
        </w:rPr>
        <w:t xml:space="preserve">cung cấp “hạ tầng tổ chức”, thì chuyển đổi số và quản trị dựa trên dữ liệu chính là cơ chế vận hành bảo đảm cho hệ sinh thái </w:t>
      </w:r>
      <w:r w:rsidRPr="00B12F32">
        <w:rPr>
          <w:rFonts w:cs="Times New Roman"/>
          <w:sz w:val="22"/>
        </w:rPr>
        <w:lastRenderedPageBreak/>
        <w:t>đổi mới xanh tại WUR hoạt động hiệu quả và minh bạch. Trong bối cảnh giáo dục đại học toàn cầu chịu áp lực cạnh tranh và trách nhiệm giải trình ngày càng cao, dữ liệu không chỉ là công cụ kỹ thuật mà trở thành nền tảng quản trị chiến lược.</w:t>
      </w:r>
    </w:p>
    <w:p w14:paraId="282053C1" w14:textId="23222D47"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Theo tài liệu </w:t>
      </w:r>
      <w:r w:rsidR="001D4D00" w:rsidRPr="00B12F32">
        <w:rPr>
          <w:rFonts w:cs="Times New Roman"/>
          <w:sz w:val="22"/>
          <w:lang w:val="en-US"/>
        </w:rPr>
        <w:t xml:space="preserve">Chuyển đổi số và nghiên cứu dựa trên dữ liệu tại </w:t>
      </w:r>
      <w:r w:rsidRPr="00B12F32">
        <w:rPr>
          <w:rFonts w:cs="Times New Roman"/>
          <w:sz w:val="22"/>
        </w:rPr>
        <w:t>WUR</w:t>
      </w:r>
      <w:r w:rsidR="001D4D00" w:rsidRPr="00B12F32">
        <w:rPr>
          <w:rFonts w:cs="Times New Roman"/>
          <w:sz w:val="22"/>
          <w:vertAlign w:val="superscript"/>
          <w:lang w:val="en-US"/>
        </w:rPr>
        <w:t>13</w:t>
      </w:r>
      <w:r w:rsidRPr="00B12F32">
        <w:rPr>
          <w:rFonts w:cs="Times New Roman"/>
          <w:sz w:val="22"/>
        </w:rPr>
        <w:t>, WUR đã đầu tư mạnh vào hạ tầng dữ liệu nghiên cứu, hệ thống quản lý dự án và nền tảng phân tích hiệu suất khoa học. Hệ sinh thái số này cho phép theo dõi vòng đời nghiên cứu – từ đề xuất, triển khai, công bố đến chuyển giao – đồng thời tích hợp các chỉ số liên quan đến tác động xã hội và môi trường. Điều này phản ánh xu hướng chuyển từ quản trị dựa trên đầu vào</w:t>
      </w:r>
      <w:r w:rsidR="001D4D00" w:rsidRPr="00B12F32">
        <w:rPr>
          <w:rFonts w:cs="Times New Roman"/>
          <w:sz w:val="22"/>
          <w:lang w:val="en-US"/>
        </w:rPr>
        <w:t xml:space="preserve"> </w:t>
      </w:r>
      <w:r w:rsidRPr="00B12F32">
        <w:rPr>
          <w:rFonts w:cs="Times New Roman"/>
          <w:sz w:val="22"/>
        </w:rPr>
        <w:t>sang quản trị dựa trên kết quả và tác động.</w:t>
      </w:r>
    </w:p>
    <w:p w14:paraId="7B39DAAB" w14:textId="0604D058"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Sự chuyển dịch này gắn chặt với định hướng chiến lược trong </w:t>
      </w:r>
      <w:r w:rsidR="001D4D00" w:rsidRPr="00B12F32">
        <w:rPr>
          <w:rFonts w:cs="Times New Roman"/>
          <w:sz w:val="22"/>
          <w:lang w:val="en-US"/>
        </w:rPr>
        <w:t xml:space="preserve">Kế hoạch chiến lược </w:t>
      </w:r>
      <w:r w:rsidRPr="00B12F32">
        <w:rPr>
          <w:rFonts w:cs="Times New Roman"/>
          <w:sz w:val="22"/>
        </w:rPr>
        <w:t>2019–2022</w:t>
      </w:r>
      <w:r w:rsidR="001D4D00" w:rsidRPr="00B12F32">
        <w:rPr>
          <w:rFonts w:cs="Times New Roman"/>
          <w:sz w:val="22"/>
          <w:vertAlign w:val="superscript"/>
          <w:lang w:val="en-US"/>
        </w:rPr>
        <w:t>12</w:t>
      </w:r>
      <w:r w:rsidRPr="00B12F32">
        <w:rPr>
          <w:rFonts w:cs="Times New Roman"/>
          <w:sz w:val="22"/>
        </w:rPr>
        <w:t xml:space="preserve"> và tiếp tục được nhấn mạnh trong </w:t>
      </w:r>
      <w:r w:rsidR="001D4D00" w:rsidRPr="00B12F32">
        <w:rPr>
          <w:rFonts w:cs="Times New Roman"/>
          <w:sz w:val="22"/>
          <w:lang w:val="en-US"/>
        </w:rPr>
        <w:t xml:space="preserve">Kế hoạch chiến lược </w:t>
      </w:r>
      <w:r w:rsidRPr="00B12F32">
        <w:rPr>
          <w:rFonts w:cs="Times New Roman"/>
          <w:sz w:val="22"/>
        </w:rPr>
        <w:t>2025–2028</w:t>
      </w:r>
      <w:r w:rsidR="001D4D00" w:rsidRPr="00B12F32">
        <w:rPr>
          <w:rFonts w:cs="Times New Roman"/>
          <w:sz w:val="22"/>
          <w:vertAlign w:val="superscript"/>
          <w:lang w:val="en-US"/>
        </w:rPr>
        <w:t>20</w:t>
      </w:r>
      <w:r w:rsidRPr="00B12F32">
        <w:rPr>
          <w:rFonts w:cs="Times New Roman"/>
          <w:sz w:val="22"/>
        </w:rPr>
        <w:t>, nơi chuyển đổi số được xem như điều kiện tiên quyết để giải quyết các thách thức phức hợp trong hệ thống lương thực – nông nghiệp – môi trường. Dữ liệu lớn, mô hình hóa và trí tuệ nhân tạo được tích hợp vào nghiên cứu liên ngành, qua đó nâng cao năng lực dự báo và thiết kế chính sách.</w:t>
      </w:r>
    </w:p>
    <w:p w14:paraId="7586BDDD" w14:textId="741956E6"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Ở cấp độ quản trị bền vững, dữ liệu đóng vai trò công cụ thể chế hóa các Mục tiêu </w:t>
      </w:r>
      <w:r w:rsidR="001D4D00" w:rsidRPr="00B12F32">
        <w:rPr>
          <w:rFonts w:cs="Times New Roman"/>
          <w:sz w:val="22"/>
          <w:lang w:val="en-US"/>
        </w:rPr>
        <w:t>p</w:t>
      </w:r>
      <w:r w:rsidRPr="00B12F32">
        <w:rPr>
          <w:rFonts w:cs="Times New Roman"/>
          <w:sz w:val="22"/>
        </w:rPr>
        <w:t xml:space="preserve">hát triển </w:t>
      </w:r>
      <w:r w:rsidR="001D4D00" w:rsidRPr="00B12F32">
        <w:rPr>
          <w:rFonts w:cs="Times New Roman"/>
          <w:sz w:val="22"/>
          <w:lang w:val="en-US"/>
        </w:rPr>
        <w:t>b</w:t>
      </w:r>
      <w:r w:rsidRPr="00B12F32">
        <w:rPr>
          <w:rFonts w:cs="Times New Roman"/>
          <w:sz w:val="22"/>
        </w:rPr>
        <w:t>ền vững</w:t>
      </w:r>
      <w:r w:rsidR="001D4D00" w:rsidRPr="00B12F32">
        <w:rPr>
          <w:rFonts w:cs="Times New Roman"/>
          <w:sz w:val="22"/>
          <w:vertAlign w:val="superscript"/>
          <w:lang w:val="en-US"/>
        </w:rPr>
        <w:t>9</w:t>
      </w:r>
      <w:r w:rsidRPr="00B12F32">
        <w:rPr>
          <w:rFonts w:cs="Times New Roman"/>
          <w:sz w:val="22"/>
        </w:rPr>
        <w:t xml:space="preserve">. Báo cáo WUR </w:t>
      </w:r>
      <w:r w:rsidR="001D4D00" w:rsidRPr="00B12F32">
        <w:rPr>
          <w:rFonts w:cs="Times New Roman"/>
          <w:sz w:val="22"/>
          <w:lang w:val="en-US"/>
        </w:rPr>
        <w:t xml:space="preserve">và </w:t>
      </w:r>
      <w:r w:rsidRPr="00B12F32">
        <w:rPr>
          <w:rFonts w:cs="Times New Roman"/>
          <w:sz w:val="22"/>
        </w:rPr>
        <w:t>SDGs</w:t>
      </w:r>
      <w:r w:rsidR="001D4D00" w:rsidRPr="00B12F32">
        <w:rPr>
          <w:rFonts w:cs="Times New Roman"/>
          <w:sz w:val="22"/>
          <w:vertAlign w:val="superscript"/>
          <w:lang w:val="en-US"/>
        </w:rPr>
        <w:t>14</w:t>
      </w:r>
      <w:r w:rsidRPr="00B12F32">
        <w:rPr>
          <w:rFonts w:cs="Times New Roman"/>
          <w:sz w:val="22"/>
        </w:rPr>
        <w:t xml:space="preserve"> cho thấy nhà trường xây dựng hệ thống chỉ số để đo lường đóng góp của từng lĩnh vực nghiên cứu đối với các SDGs. Trong </w:t>
      </w:r>
      <w:r w:rsidR="001D4D00" w:rsidRPr="00B12F32">
        <w:rPr>
          <w:rFonts w:cs="Times New Roman"/>
          <w:sz w:val="22"/>
          <w:lang w:val="en-US"/>
        </w:rPr>
        <w:t xml:space="preserve">Báo cáo </w:t>
      </w:r>
      <w:r w:rsidR="00223E00" w:rsidRPr="00B12F32">
        <w:rPr>
          <w:rFonts w:cs="Times New Roman"/>
          <w:sz w:val="22"/>
          <w:lang w:val="en-US"/>
        </w:rPr>
        <w:t xml:space="preserve">phát triển bền vững </w:t>
      </w:r>
      <w:r w:rsidRPr="00B12F32">
        <w:rPr>
          <w:rFonts w:cs="Times New Roman"/>
          <w:sz w:val="22"/>
        </w:rPr>
        <w:t>2022</w:t>
      </w:r>
      <w:r w:rsidR="00223E00" w:rsidRPr="00B12F32">
        <w:rPr>
          <w:rFonts w:cs="Times New Roman"/>
          <w:sz w:val="22"/>
          <w:vertAlign w:val="superscript"/>
          <w:lang w:val="en-US"/>
        </w:rPr>
        <w:t>17</w:t>
      </w:r>
      <w:r w:rsidRPr="00B12F32">
        <w:rPr>
          <w:rFonts w:cs="Times New Roman"/>
          <w:sz w:val="22"/>
        </w:rPr>
        <w:t>, các chỉ số phát thải, tiêu thụ năng lượng và hợp tác quốc tế được công bố dựa trên nền tảng dữ liệu tích hợp. Nhờ đó, chiến lược bền vững không chỉ mang tính biểu tượng mà được cụ thể hóa thành cơ chế đánh giá định lượng.</w:t>
      </w:r>
    </w:p>
    <w:p w14:paraId="4D2ECF48" w14:textId="2BC08E00"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Quản trị dựa trên dữ liệu cũng củng cố mô hình </w:t>
      </w:r>
      <w:r w:rsidR="00223E00" w:rsidRPr="00B12F32">
        <w:rPr>
          <w:rFonts w:cs="Times New Roman"/>
          <w:sz w:val="22"/>
          <w:lang w:val="en-US"/>
        </w:rPr>
        <w:t>nhóm nghiên cứu</w:t>
      </w:r>
      <w:r w:rsidRPr="00B12F32">
        <w:rPr>
          <w:rFonts w:cs="Times New Roman"/>
          <w:sz w:val="22"/>
        </w:rPr>
        <w:t xml:space="preserve">. Theo </w:t>
      </w:r>
      <w:r w:rsidR="00223E00" w:rsidRPr="00B12F32">
        <w:rPr>
          <w:rFonts w:cs="Times New Roman"/>
          <w:sz w:val="22"/>
          <w:lang w:val="en-US"/>
        </w:rPr>
        <w:t>tài liệu “Nhóm nghiên cứu và cơ cấu quản trị nghiên cứu”</w:t>
      </w:r>
      <w:r w:rsidR="00223E00" w:rsidRPr="00B12F32">
        <w:rPr>
          <w:rFonts w:cs="Times New Roman"/>
          <w:sz w:val="22"/>
          <w:vertAlign w:val="superscript"/>
          <w:lang w:val="en-US"/>
        </w:rPr>
        <w:t>15</w:t>
      </w:r>
      <w:r w:rsidRPr="00B12F32">
        <w:rPr>
          <w:rFonts w:cs="Times New Roman"/>
          <w:sz w:val="22"/>
        </w:rPr>
        <w:t>, hệ thống thông tin nội bộ hỗ trợ phân bổ nguồn lực minh bạch và đánh giá hiệu suất theo tiêu chí liên ngành và tác động xã hội. Điều này giúp cân bằng giữa tự chủ học thuật – vốn là đặc trưng của đại học khởi nghiệp</w:t>
      </w:r>
      <w:r w:rsidR="00223E00" w:rsidRPr="00B12F32">
        <w:rPr>
          <w:rFonts w:cs="Times New Roman"/>
          <w:sz w:val="22"/>
          <w:vertAlign w:val="superscript"/>
          <w:lang w:val="en-US"/>
        </w:rPr>
        <w:t>5</w:t>
      </w:r>
      <w:r w:rsidRPr="00B12F32">
        <w:rPr>
          <w:rFonts w:cs="Times New Roman"/>
          <w:sz w:val="22"/>
        </w:rPr>
        <w:t xml:space="preserve"> – và trách nhiệm giải trình ở cấp thể chế.</w:t>
      </w:r>
    </w:p>
    <w:p w14:paraId="17D2CAB6" w14:textId="476F8909"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Từ góc độ hệ sinh thái đổi mới, dữ liệu tạo điều kiện cho sự phối hợp giữa đại học, doanh nghiệp và chính phủ theo logic </w:t>
      </w:r>
      <w:r w:rsidR="00223E00" w:rsidRPr="00B12F32">
        <w:rPr>
          <w:rFonts w:cs="Times New Roman"/>
          <w:sz w:val="22"/>
          <w:lang w:val="en-US"/>
        </w:rPr>
        <w:t>“ba nhà”</w:t>
      </w:r>
      <w:r w:rsidR="00223E00" w:rsidRPr="00B12F32">
        <w:rPr>
          <w:rFonts w:cs="Times New Roman"/>
          <w:sz w:val="22"/>
          <w:vertAlign w:val="superscript"/>
          <w:lang w:val="en-US"/>
        </w:rPr>
        <w:t>6</w:t>
      </w:r>
      <w:r w:rsidRPr="00B12F32">
        <w:rPr>
          <w:rFonts w:cs="Times New Roman"/>
          <w:sz w:val="22"/>
        </w:rPr>
        <w:t>. Các nền tảng chia sẻ dữ liệu nghiên cứu mở rộng khả năng đồng sáng tạo với đối tác bên ngoài, đồng thời tăng cường minh bạch trong chuỗi cung ứng và quản trị thực phẩm bền vững</w:t>
      </w:r>
      <w:r w:rsidR="00223E00" w:rsidRPr="00B12F32">
        <w:rPr>
          <w:rFonts w:cs="Times New Roman"/>
          <w:sz w:val="22"/>
          <w:vertAlign w:val="superscript"/>
          <w:lang w:val="en-US"/>
        </w:rPr>
        <w:t>4,8</w:t>
      </w:r>
      <w:r w:rsidRPr="00B12F32">
        <w:rPr>
          <w:rFonts w:cs="Times New Roman"/>
          <w:sz w:val="22"/>
        </w:rPr>
        <w:t xml:space="preserve">. Báo cáo </w:t>
      </w:r>
      <w:r w:rsidR="00223E00" w:rsidRPr="00B12F32">
        <w:rPr>
          <w:rFonts w:cs="Times New Roman"/>
          <w:sz w:val="22"/>
          <w:lang w:val="en-US"/>
        </w:rPr>
        <w:t>Đổi mới sáng tạo và khởi nghiệp</w:t>
      </w:r>
      <w:r w:rsidR="00223E00" w:rsidRPr="00B12F32">
        <w:rPr>
          <w:rFonts w:cs="Times New Roman"/>
          <w:sz w:val="22"/>
          <w:vertAlign w:val="superscript"/>
          <w:lang w:val="en-US"/>
        </w:rPr>
        <w:t>16</w:t>
      </w:r>
      <w:r w:rsidR="00223E00" w:rsidRPr="00B12F32">
        <w:rPr>
          <w:rFonts w:cs="Times New Roman"/>
          <w:sz w:val="22"/>
          <w:lang w:val="en-US"/>
        </w:rPr>
        <w:t xml:space="preserve">, Báo cáo tác động </w:t>
      </w:r>
      <w:r w:rsidRPr="00B12F32">
        <w:rPr>
          <w:rFonts w:cs="Times New Roman"/>
          <w:sz w:val="22"/>
        </w:rPr>
        <w:t xml:space="preserve">Wageningen </w:t>
      </w:r>
      <w:r w:rsidR="00223E00" w:rsidRPr="00B12F32">
        <w:rPr>
          <w:rFonts w:cs="Times New Roman"/>
          <w:sz w:val="22"/>
          <w:lang w:val="en-US"/>
        </w:rPr>
        <w:t>và hệ sinh thái khởi nghiệp</w:t>
      </w:r>
      <w:r w:rsidR="00223E00" w:rsidRPr="00B12F32">
        <w:rPr>
          <w:rFonts w:cs="Times New Roman"/>
          <w:sz w:val="22"/>
          <w:vertAlign w:val="superscript"/>
          <w:lang w:val="en-US"/>
        </w:rPr>
        <w:t>18</w:t>
      </w:r>
      <w:r w:rsidR="00223E00" w:rsidRPr="00B12F32">
        <w:rPr>
          <w:rFonts w:cs="Times New Roman"/>
          <w:sz w:val="22"/>
          <w:lang w:val="en-US"/>
        </w:rPr>
        <w:t xml:space="preserve"> </w:t>
      </w:r>
      <w:r w:rsidRPr="00B12F32">
        <w:rPr>
          <w:rFonts w:cs="Times New Roman"/>
          <w:sz w:val="22"/>
        </w:rPr>
        <w:t>cho thấy nhiều dự án khởi nghiệp dựa trên khai thác dữ liệu khoa học và công nghệ số.</w:t>
      </w:r>
    </w:p>
    <w:p w14:paraId="0CB75B85" w14:textId="00442A69" w:rsidR="001C01E3" w:rsidRPr="00B12F32" w:rsidRDefault="00223E00" w:rsidP="00FE1421">
      <w:pPr>
        <w:spacing w:before="120" w:after="120" w:line="240" w:lineRule="auto"/>
        <w:ind w:firstLine="567"/>
        <w:jc w:val="both"/>
        <w:rPr>
          <w:rFonts w:cs="Times New Roman"/>
          <w:sz w:val="22"/>
        </w:rPr>
      </w:pPr>
      <w:r w:rsidRPr="00B12F32">
        <w:rPr>
          <w:rFonts w:cs="Times New Roman"/>
          <w:sz w:val="22"/>
          <w:lang w:val="en-US"/>
        </w:rPr>
        <w:t xml:space="preserve">Như vậy, </w:t>
      </w:r>
      <w:r w:rsidR="001C01E3" w:rsidRPr="00B12F32">
        <w:rPr>
          <w:rFonts w:cs="Times New Roman"/>
          <w:sz w:val="22"/>
        </w:rPr>
        <w:t>chuyển đổi số tại WUR không chỉ là hiện đại hóa hạ tầng kỹ thuật mà là tái cấu trúc năng lực quản trị. Dữ liệu trở thành “ngôn ngữ chung” kết nối chiến lược, tổ chức và hệ sinh thái, đồng thời giúp nhà trường duy trì vị thế cạnh tranh trong khi vẫn theo đuổi sứ mệnh bền vững. Chính ở điểm giao này, quản trị dựa trên dữ liệu nổi lên như thành tố không thể thiếu của mô hình “quản trị hệ sinh thái đổi mới xanh”.</w:t>
      </w:r>
    </w:p>
    <w:p w14:paraId="3625A9B9" w14:textId="5E308DD5" w:rsidR="001C01E3" w:rsidRPr="00FE1421" w:rsidRDefault="001C01E3" w:rsidP="00B12F32">
      <w:pPr>
        <w:spacing w:before="120" w:after="120" w:line="240" w:lineRule="auto"/>
        <w:jc w:val="both"/>
        <w:rPr>
          <w:rFonts w:cs="Times New Roman"/>
          <w:b/>
          <w:bCs/>
          <w:sz w:val="22"/>
        </w:rPr>
      </w:pPr>
      <w:r w:rsidRPr="00FE1421">
        <w:rPr>
          <w:rFonts w:cs="Times New Roman"/>
          <w:b/>
          <w:bCs/>
          <w:sz w:val="22"/>
        </w:rPr>
        <w:t xml:space="preserve">3.4. Hệ sinh thái đổi mới mở và </w:t>
      </w:r>
      <w:r w:rsidR="00223E00" w:rsidRPr="00FE1421">
        <w:rPr>
          <w:rFonts w:cs="Times New Roman"/>
          <w:b/>
          <w:bCs/>
          <w:sz w:val="22"/>
          <w:lang w:val="en-US"/>
        </w:rPr>
        <w:t xml:space="preserve">khuôn viên </w:t>
      </w:r>
      <w:r w:rsidRPr="00FE1421">
        <w:rPr>
          <w:rFonts w:cs="Times New Roman"/>
          <w:b/>
          <w:bCs/>
          <w:sz w:val="22"/>
        </w:rPr>
        <w:t>Wageningen</w:t>
      </w:r>
    </w:p>
    <w:p w14:paraId="5DECDC19" w14:textId="4364A2D4"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Bên cạnh định hướng sứ mệnh, thiết kế tổ chức và chuyển đổi số, một trụ cột quan trọng trong mô hình quản trị của WUR là xây dựng hệ sinh thái đổi mới mở, với </w:t>
      </w:r>
      <w:r w:rsidR="00223E00" w:rsidRPr="00B12F32">
        <w:rPr>
          <w:rFonts w:cs="Times New Roman"/>
          <w:sz w:val="22"/>
          <w:lang w:val="en-US"/>
        </w:rPr>
        <w:t xml:space="preserve">khuôn viên </w:t>
      </w:r>
      <w:r w:rsidRPr="00B12F32">
        <w:rPr>
          <w:rFonts w:cs="Times New Roman"/>
          <w:sz w:val="22"/>
        </w:rPr>
        <w:t xml:space="preserve">Wageningen đóng vai trò như một nền tảng hợp tác và đồng sáng tạo. Nếu mô hình </w:t>
      </w:r>
      <w:r w:rsidR="00223E00" w:rsidRPr="00B12F32">
        <w:rPr>
          <w:rFonts w:cs="Times New Roman"/>
          <w:sz w:val="22"/>
          <w:lang w:val="en-US"/>
        </w:rPr>
        <w:t xml:space="preserve">nhóm nghiên cứu </w:t>
      </w:r>
      <w:r w:rsidRPr="00B12F32">
        <w:rPr>
          <w:rFonts w:cs="Times New Roman"/>
          <w:sz w:val="22"/>
        </w:rPr>
        <w:t xml:space="preserve">là cấu trúc nội tại của đại học, thì </w:t>
      </w:r>
      <w:r w:rsidR="00223E00" w:rsidRPr="00B12F32">
        <w:rPr>
          <w:rFonts w:cs="Times New Roman"/>
          <w:sz w:val="22"/>
          <w:lang w:val="en-US"/>
        </w:rPr>
        <w:t xml:space="preserve">khuôn viên </w:t>
      </w:r>
      <w:r w:rsidRPr="00B12F32">
        <w:rPr>
          <w:rFonts w:cs="Times New Roman"/>
          <w:sz w:val="22"/>
        </w:rPr>
        <w:t xml:space="preserve">lại là “hạ tầng thể chế mở” kết nối đại học với doanh nghiệp, chính phủ và các tổ chức xã hội theo logic </w:t>
      </w:r>
      <w:r w:rsidR="00223E00" w:rsidRPr="00B12F32">
        <w:rPr>
          <w:rFonts w:cs="Times New Roman"/>
          <w:sz w:val="22"/>
          <w:lang w:val="en-US"/>
        </w:rPr>
        <w:t>“ba nhà”</w:t>
      </w:r>
      <w:r w:rsidR="00223E00" w:rsidRPr="00B12F32">
        <w:rPr>
          <w:rFonts w:cs="Times New Roman"/>
          <w:sz w:val="22"/>
          <w:vertAlign w:val="superscript"/>
          <w:lang w:val="en-US"/>
        </w:rPr>
        <w:t>6</w:t>
      </w:r>
      <w:r w:rsidRPr="00B12F32">
        <w:rPr>
          <w:rFonts w:cs="Times New Roman"/>
          <w:sz w:val="22"/>
        </w:rPr>
        <w:t>.</w:t>
      </w:r>
    </w:p>
    <w:p w14:paraId="62C48645" w14:textId="6F76913B"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Theo </w:t>
      </w:r>
      <w:r w:rsidR="00223E00" w:rsidRPr="00B12F32">
        <w:rPr>
          <w:rFonts w:cs="Times New Roman"/>
          <w:sz w:val="22"/>
          <w:lang w:val="en-US"/>
        </w:rPr>
        <w:t xml:space="preserve">báo cáo Đổi mới sáng tạo và khởi nghiệp tại </w:t>
      </w:r>
      <w:r w:rsidRPr="00B12F32">
        <w:rPr>
          <w:rFonts w:cs="Times New Roman"/>
          <w:sz w:val="22"/>
        </w:rPr>
        <w:t>WUR</w:t>
      </w:r>
      <w:r w:rsidR="00223E00" w:rsidRPr="00B12F32">
        <w:rPr>
          <w:rFonts w:cs="Times New Roman"/>
          <w:sz w:val="22"/>
          <w:vertAlign w:val="superscript"/>
          <w:lang w:val="en-US"/>
        </w:rPr>
        <w:t>16</w:t>
      </w:r>
      <w:r w:rsidRPr="00B12F32">
        <w:rPr>
          <w:rFonts w:cs="Times New Roman"/>
          <w:sz w:val="22"/>
        </w:rPr>
        <w:t xml:space="preserve">, </w:t>
      </w:r>
      <w:r w:rsidR="00223E00" w:rsidRPr="00B12F32">
        <w:rPr>
          <w:rFonts w:cs="Times New Roman"/>
          <w:sz w:val="22"/>
          <w:lang w:val="en-US"/>
        </w:rPr>
        <w:t xml:space="preserve">khuôn viên </w:t>
      </w:r>
      <w:r w:rsidRPr="00B12F32">
        <w:rPr>
          <w:rFonts w:cs="Times New Roman"/>
          <w:sz w:val="22"/>
        </w:rPr>
        <w:t>Wageningen được thiết kế như một không gian tích hợp giữa nghiên cứu, khởi nghiệp và chuyển giao công nghệ trong lĩnh vực nông nghiệp – thực phẩm – môi trường. Hàng trăm công ty, viện nghiên cứu và tổ chức quốc tế cùng hiện diện trong cùng một không gian địa lý, tạo điều kiện cho trao đổi tri thức và phát triển dự án chung. Mô hình này phù hợp với quan điểm về đại học khởi nghiệp của Clark</w:t>
      </w:r>
      <w:r w:rsidR="00223E00" w:rsidRPr="00B12F32">
        <w:rPr>
          <w:rFonts w:cs="Times New Roman"/>
          <w:sz w:val="22"/>
          <w:vertAlign w:val="superscript"/>
          <w:lang w:val="en-US"/>
        </w:rPr>
        <w:t>5</w:t>
      </w:r>
      <w:r w:rsidRPr="00B12F32">
        <w:rPr>
          <w:rFonts w:cs="Times New Roman"/>
          <w:sz w:val="22"/>
        </w:rPr>
        <w:t>, khi trường đại học không chỉ sản xuất tri thức mà còn chủ động tham gia vào quá trình thương mại hóa và đổi mới xã hội.</w:t>
      </w:r>
    </w:p>
    <w:p w14:paraId="285FE115" w14:textId="25CCC2D0"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Báo cáo </w:t>
      </w:r>
      <w:r w:rsidR="00223E00" w:rsidRPr="00B12F32">
        <w:rPr>
          <w:rFonts w:cs="Times New Roman"/>
          <w:sz w:val="22"/>
          <w:lang w:val="en-US"/>
        </w:rPr>
        <w:t>t</w:t>
      </w:r>
      <w:r w:rsidR="00223E00" w:rsidRPr="00B12F32">
        <w:rPr>
          <w:rFonts w:cs="Times New Roman"/>
          <w:sz w:val="22"/>
          <w:lang w:val="en-US"/>
        </w:rPr>
        <w:t>ác</w:t>
      </w:r>
      <w:r w:rsidR="00223E00" w:rsidRPr="00B12F32">
        <w:rPr>
          <w:rFonts w:cs="Times New Roman"/>
          <w:sz w:val="22"/>
          <w:lang w:val="en-US"/>
        </w:rPr>
        <w:t xml:space="preserve"> động</w:t>
      </w:r>
      <w:r w:rsidR="00223E00" w:rsidRPr="00B12F32">
        <w:rPr>
          <w:rFonts w:cs="Times New Roman"/>
          <w:sz w:val="22"/>
          <w:lang w:val="en-US"/>
        </w:rPr>
        <w:t xml:space="preserve"> </w:t>
      </w:r>
      <w:r w:rsidR="00223E00" w:rsidRPr="00B12F32">
        <w:rPr>
          <w:rFonts w:cs="Times New Roman"/>
          <w:sz w:val="22"/>
        </w:rPr>
        <w:t xml:space="preserve">Wageningen </w:t>
      </w:r>
      <w:r w:rsidR="00223E00" w:rsidRPr="00B12F32">
        <w:rPr>
          <w:rFonts w:cs="Times New Roman"/>
          <w:sz w:val="22"/>
          <w:lang w:val="en-US"/>
        </w:rPr>
        <w:t>và hệ sinh thái khởi nghiệp</w:t>
      </w:r>
      <w:r w:rsidR="00223E00" w:rsidRPr="00B12F32">
        <w:rPr>
          <w:rFonts w:cs="Times New Roman"/>
          <w:sz w:val="22"/>
          <w:vertAlign w:val="superscript"/>
          <w:lang w:val="en-US"/>
        </w:rPr>
        <w:t>18</w:t>
      </w:r>
      <w:r w:rsidRPr="00B12F32">
        <w:rPr>
          <w:rFonts w:cs="Times New Roman"/>
          <w:sz w:val="22"/>
        </w:rPr>
        <w:t xml:space="preserve"> cho thấy hệ sinh thái khởi nghiệp tại </w:t>
      </w:r>
      <w:r w:rsidR="00223E00" w:rsidRPr="00B12F32">
        <w:rPr>
          <w:rFonts w:cs="Times New Roman"/>
          <w:sz w:val="22"/>
          <w:lang w:val="en-US"/>
        </w:rPr>
        <w:t xml:space="preserve">khuôn viên </w:t>
      </w:r>
      <w:r w:rsidRPr="00B12F32">
        <w:rPr>
          <w:rFonts w:cs="Times New Roman"/>
          <w:sz w:val="22"/>
        </w:rPr>
        <w:t xml:space="preserve">đã tạo ra nhiều doanh nghiệp spin-off và startup trong lĩnh vực công nghệ sinh học, nông nghiệp chính xác và thực phẩm bền vững. Sự phát triển này không tách rời định hướng chiến lược dài hạn được xác lập trong </w:t>
      </w:r>
      <w:r w:rsidR="00223E00" w:rsidRPr="00B12F32">
        <w:rPr>
          <w:rFonts w:cs="Times New Roman"/>
          <w:sz w:val="22"/>
          <w:lang w:val="en-US"/>
        </w:rPr>
        <w:t xml:space="preserve">Kế hoạch chiến lược </w:t>
      </w:r>
      <w:r w:rsidRPr="00B12F32">
        <w:rPr>
          <w:rFonts w:cs="Times New Roman"/>
          <w:sz w:val="22"/>
        </w:rPr>
        <w:t>2019–2022</w:t>
      </w:r>
      <w:r w:rsidR="00891380" w:rsidRPr="00B12F32">
        <w:rPr>
          <w:rFonts w:cs="Times New Roman"/>
          <w:sz w:val="22"/>
          <w:vertAlign w:val="superscript"/>
          <w:lang w:val="en-US"/>
        </w:rPr>
        <w:t>12</w:t>
      </w:r>
      <w:r w:rsidRPr="00B12F32">
        <w:rPr>
          <w:rFonts w:cs="Times New Roman"/>
          <w:sz w:val="22"/>
        </w:rPr>
        <w:t xml:space="preserve"> và tiếp tục củng cố trong </w:t>
      </w:r>
      <w:r w:rsidR="00891380" w:rsidRPr="00B12F32">
        <w:rPr>
          <w:rFonts w:cs="Times New Roman"/>
          <w:sz w:val="22"/>
          <w:lang w:val="en-US"/>
        </w:rPr>
        <w:t>Kiến tạo thay đổi có trách nhiệm: Kế hoạch chiến lược 2025</w:t>
      </w:r>
      <w:r w:rsidR="00891380" w:rsidRPr="00B12F32">
        <w:rPr>
          <w:rFonts w:cs="Times New Roman"/>
          <w:sz w:val="22"/>
        </w:rPr>
        <w:t>–</w:t>
      </w:r>
      <w:r w:rsidR="00891380" w:rsidRPr="00B12F32">
        <w:rPr>
          <w:rFonts w:cs="Times New Roman"/>
          <w:sz w:val="22"/>
          <w:lang w:val="en-US"/>
        </w:rPr>
        <w:t>2028</w:t>
      </w:r>
      <w:r w:rsidR="00891380" w:rsidRPr="00B12F32">
        <w:rPr>
          <w:rFonts w:cs="Times New Roman"/>
          <w:sz w:val="22"/>
          <w:vertAlign w:val="superscript"/>
          <w:lang w:val="en-US"/>
        </w:rPr>
        <w:t>20</w:t>
      </w:r>
      <w:r w:rsidRPr="00B12F32">
        <w:rPr>
          <w:rFonts w:cs="Times New Roman"/>
          <w:sz w:val="22"/>
        </w:rPr>
        <w:t>, nơi đổi mới sáng tạo được xem là công cụ giải quyết các thách thức toàn cầu về an ninh lương thực và biến đổi khí hậu.</w:t>
      </w:r>
    </w:p>
    <w:p w14:paraId="014A9835" w14:textId="57DE4147"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Ở bình diện quản trị bền vững, hệ sinh thái mở tại </w:t>
      </w:r>
      <w:r w:rsidR="00891380" w:rsidRPr="00B12F32">
        <w:rPr>
          <w:rFonts w:cs="Times New Roman"/>
          <w:sz w:val="22"/>
          <w:lang w:val="en-US"/>
        </w:rPr>
        <w:t xml:space="preserve">khuôn viên </w:t>
      </w:r>
      <w:r w:rsidRPr="00B12F32">
        <w:rPr>
          <w:rFonts w:cs="Times New Roman"/>
          <w:sz w:val="22"/>
        </w:rPr>
        <w:t xml:space="preserve">Wageningen góp phần cụ thể hóa các Mục tiêu </w:t>
      </w:r>
      <w:r w:rsidR="00891380" w:rsidRPr="00B12F32">
        <w:rPr>
          <w:rFonts w:cs="Times New Roman"/>
          <w:sz w:val="22"/>
          <w:lang w:val="en-US"/>
        </w:rPr>
        <w:t>p</w:t>
      </w:r>
      <w:r w:rsidRPr="00B12F32">
        <w:rPr>
          <w:rFonts w:cs="Times New Roman"/>
          <w:sz w:val="22"/>
        </w:rPr>
        <w:t xml:space="preserve">hát triển </w:t>
      </w:r>
      <w:r w:rsidR="00891380" w:rsidRPr="00B12F32">
        <w:rPr>
          <w:rFonts w:cs="Times New Roman"/>
          <w:sz w:val="22"/>
          <w:lang w:val="en-US"/>
        </w:rPr>
        <w:t>b</w:t>
      </w:r>
      <w:r w:rsidRPr="00B12F32">
        <w:rPr>
          <w:rFonts w:cs="Times New Roman"/>
          <w:sz w:val="22"/>
        </w:rPr>
        <w:t>ền vững</w:t>
      </w:r>
      <w:r w:rsidR="00891380" w:rsidRPr="00B12F32">
        <w:rPr>
          <w:rFonts w:cs="Times New Roman"/>
          <w:sz w:val="22"/>
          <w:vertAlign w:val="superscript"/>
          <w:lang w:val="en-US"/>
        </w:rPr>
        <w:t>10</w:t>
      </w:r>
      <w:r w:rsidRPr="00B12F32">
        <w:rPr>
          <w:rFonts w:cs="Times New Roman"/>
          <w:sz w:val="22"/>
        </w:rPr>
        <w:t>. Thông qua các dự án hợp tác công</w:t>
      </w:r>
      <w:r w:rsidR="00891380" w:rsidRPr="00B12F32">
        <w:rPr>
          <w:rFonts w:cs="Times New Roman"/>
          <w:sz w:val="22"/>
          <w:lang w:val="en-US"/>
        </w:rPr>
        <w:t xml:space="preserve"> </w:t>
      </w:r>
      <w:r w:rsidRPr="00B12F32">
        <w:rPr>
          <w:rFonts w:cs="Times New Roman"/>
          <w:sz w:val="22"/>
        </w:rPr>
        <w:t>–</w:t>
      </w:r>
      <w:r w:rsidR="00891380" w:rsidRPr="00B12F32">
        <w:rPr>
          <w:rFonts w:cs="Times New Roman"/>
          <w:sz w:val="22"/>
          <w:lang w:val="en-US"/>
        </w:rPr>
        <w:t xml:space="preserve"> </w:t>
      </w:r>
      <w:r w:rsidRPr="00B12F32">
        <w:rPr>
          <w:rFonts w:cs="Times New Roman"/>
          <w:sz w:val="22"/>
        </w:rPr>
        <w:t xml:space="preserve">tư và nghiên cứu liên ngành, WUR </w:t>
      </w:r>
      <w:r w:rsidRPr="00B12F32">
        <w:rPr>
          <w:rFonts w:cs="Times New Roman"/>
          <w:sz w:val="22"/>
        </w:rPr>
        <w:lastRenderedPageBreak/>
        <w:t>lồng ghép mục tiêu giảm phát thải, sử dụng tài nguyên hiệu quả và phát triển chuỗi cung ứng bền vững vào thực tiễn</w:t>
      </w:r>
      <w:r w:rsidR="00891380" w:rsidRPr="00B12F32">
        <w:rPr>
          <w:rFonts w:cs="Times New Roman"/>
          <w:sz w:val="22"/>
          <w:vertAlign w:val="superscript"/>
          <w:lang w:val="en-US"/>
        </w:rPr>
        <w:t>14,17</w:t>
      </w:r>
      <w:r w:rsidRPr="00B12F32">
        <w:rPr>
          <w:rFonts w:cs="Times New Roman"/>
          <w:sz w:val="22"/>
        </w:rPr>
        <w:t>. Điều này tương thích với các nghiên cứu về quản trị chuỗi cung ứng và hệ thống thực phẩm toàn cầu dựa trên trách nhiệm và minh bạch</w:t>
      </w:r>
      <w:r w:rsidR="00891380" w:rsidRPr="00B12F32">
        <w:rPr>
          <w:rFonts w:cs="Times New Roman"/>
          <w:sz w:val="22"/>
          <w:vertAlign w:val="superscript"/>
          <w:lang w:val="en-US"/>
        </w:rPr>
        <w:t>4,8</w:t>
      </w:r>
      <w:r w:rsidRPr="00B12F32">
        <w:rPr>
          <w:rFonts w:cs="Times New Roman"/>
          <w:sz w:val="22"/>
        </w:rPr>
        <w:t>.</w:t>
      </w:r>
    </w:p>
    <w:p w14:paraId="25BDD7DC" w14:textId="16AF7D6E" w:rsidR="001C01E3" w:rsidRPr="00B12F32" w:rsidRDefault="00891380" w:rsidP="00FE1421">
      <w:pPr>
        <w:spacing w:before="120" w:after="120" w:line="240" w:lineRule="auto"/>
        <w:ind w:firstLine="567"/>
        <w:jc w:val="both"/>
        <w:rPr>
          <w:rFonts w:cs="Times New Roman"/>
          <w:sz w:val="22"/>
        </w:rPr>
      </w:pPr>
      <w:r w:rsidRPr="00B12F32">
        <w:rPr>
          <w:rFonts w:cs="Times New Roman"/>
          <w:sz w:val="22"/>
          <w:lang w:val="en-US"/>
        </w:rPr>
        <w:t xml:space="preserve">Khi nghiên cứu về </w:t>
      </w:r>
      <w:r w:rsidR="001C01E3" w:rsidRPr="00B12F32">
        <w:rPr>
          <w:rFonts w:cs="Times New Roman"/>
          <w:sz w:val="22"/>
        </w:rPr>
        <w:t>tầm nhìn chiến lược của WUR</w:t>
      </w:r>
      <w:r w:rsidRPr="00B12F32">
        <w:rPr>
          <w:rFonts w:cs="Times New Roman"/>
          <w:sz w:val="22"/>
          <w:lang w:val="en-US"/>
        </w:rPr>
        <w:t>, Mol</w:t>
      </w:r>
      <w:r w:rsidRPr="00B12F32">
        <w:rPr>
          <w:rFonts w:cs="Times New Roman"/>
          <w:sz w:val="22"/>
          <w:vertAlign w:val="superscript"/>
          <w:lang w:val="en-US"/>
        </w:rPr>
        <w:t>7</w:t>
      </w:r>
      <w:r w:rsidRPr="00B12F32">
        <w:rPr>
          <w:rFonts w:cs="Times New Roman"/>
          <w:sz w:val="22"/>
          <w:lang w:val="en-US"/>
        </w:rPr>
        <w:t xml:space="preserve"> khẳng định, </w:t>
      </w:r>
      <w:r w:rsidR="001C01E3" w:rsidRPr="00B12F32">
        <w:rPr>
          <w:rFonts w:cs="Times New Roman"/>
          <w:sz w:val="22"/>
        </w:rPr>
        <w:t xml:space="preserve">trong bối cảnh toàn cầu hóa đòi hỏi một cấu trúc linh hoạt, có khả năng thích ứng với thay đổi nhanh chóng của thị trường và chính sách. </w:t>
      </w:r>
      <w:r w:rsidRPr="00B12F32">
        <w:rPr>
          <w:rFonts w:cs="Times New Roman"/>
          <w:sz w:val="22"/>
          <w:lang w:val="en-US"/>
        </w:rPr>
        <w:t xml:space="preserve">Khuôn viên </w:t>
      </w:r>
      <w:r w:rsidR="001C01E3" w:rsidRPr="00B12F32">
        <w:rPr>
          <w:rFonts w:cs="Times New Roman"/>
          <w:sz w:val="22"/>
        </w:rPr>
        <w:t>Wageningen chính là biểu hiện không gian của tầm nhìn đó: một môi trường nơi ranh giới giữa nghiên cứu cơ bản và ứng dụng thực tiễn trở nên linh hoạt. Theo Arief Jusuf và Natalia</w:t>
      </w:r>
      <w:r w:rsidRPr="00B12F32">
        <w:rPr>
          <w:rFonts w:cs="Times New Roman"/>
          <w:sz w:val="22"/>
          <w:vertAlign w:val="superscript"/>
          <w:lang w:val="en-US"/>
        </w:rPr>
        <w:t>1</w:t>
      </w:r>
      <w:r w:rsidR="001C01E3" w:rsidRPr="00B12F32">
        <w:rPr>
          <w:rFonts w:cs="Times New Roman"/>
          <w:sz w:val="22"/>
        </w:rPr>
        <w:t>, thành công của WUR trong giáo dục bền vững không chỉ đến từ nội dung chương trình, mà còn từ môi trường học thuật gắn với thực tiễn đổi mới.</w:t>
      </w:r>
    </w:p>
    <w:p w14:paraId="7F0EEC02" w14:textId="08BB3849"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Sự vận hành của </w:t>
      </w:r>
      <w:r w:rsidR="00891380" w:rsidRPr="00B12F32">
        <w:rPr>
          <w:rFonts w:cs="Times New Roman"/>
          <w:sz w:val="22"/>
          <w:lang w:val="en-US"/>
        </w:rPr>
        <w:t>khuôn viên</w:t>
      </w:r>
      <w:r w:rsidRPr="00B12F32">
        <w:rPr>
          <w:rFonts w:cs="Times New Roman"/>
          <w:sz w:val="22"/>
        </w:rPr>
        <w:t xml:space="preserve"> cũng được hỗ trợ bởi hạ tầng dữ liệu và chuyển đổi số</w:t>
      </w:r>
      <w:r w:rsidR="00891380" w:rsidRPr="00B12F32">
        <w:rPr>
          <w:rFonts w:cs="Times New Roman"/>
          <w:sz w:val="22"/>
          <w:vertAlign w:val="superscript"/>
          <w:lang w:val="en-US"/>
        </w:rPr>
        <w:t>13</w:t>
      </w:r>
      <w:r w:rsidRPr="00B12F32">
        <w:rPr>
          <w:rFonts w:cs="Times New Roman"/>
          <w:sz w:val="22"/>
        </w:rPr>
        <w:t>, giúp các đối tác chia sẻ thông tin, phối hợp nghiên cứu và đánh giá tác động. Nhờ đó, hệ sinh thái đổi mới mở không chỉ dựa trên tương tác không chính thức mà được củng cố bằng cơ chế quản trị minh bạch và đo lường được.</w:t>
      </w:r>
    </w:p>
    <w:p w14:paraId="7A81134E" w14:textId="0A3C4B29"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Tổng thể, </w:t>
      </w:r>
      <w:r w:rsidR="00891380" w:rsidRPr="00B12F32">
        <w:rPr>
          <w:rFonts w:cs="Times New Roman"/>
          <w:sz w:val="22"/>
          <w:lang w:val="en-US"/>
        </w:rPr>
        <w:t xml:space="preserve">khuôn viên </w:t>
      </w:r>
      <w:r w:rsidRPr="00B12F32">
        <w:rPr>
          <w:rFonts w:cs="Times New Roman"/>
          <w:sz w:val="22"/>
        </w:rPr>
        <w:t>Wageningen có thể được xem như “phòng thí nghiệm thể chế” nơi chiến lược bền vững, thiết kế tổ chức và chuyển đổi số hội tụ. Hệ sinh thái đổi mới mở này cho phép WUR vượt qua mô hình đại học truyền thống để trở thành tác nhân trung tâm trong chuyển đổi nông nghiệp – thực phẩm bền vững ở quy mô toàn cầu.</w:t>
      </w:r>
    </w:p>
    <w:p w14:paraId="607CE816" w14:textId="77777777" w:rsidR="00FE1421" w:rsidRDefault="00FE1421" w:rsidP="00B12F32">
      <w:pPr>
        <w:spacing w:before="120" w:after="120" w:line="240" w:lineRule="auto"/>
        <w:jc w:val="both"/>
        <w:rPr>
          <w:rFonts w:cs="Times New Roman"/>
          <w:b/>
          <w:bCs/>
          <w:sz w:val="22"/>
        </w:rPr>
      </w:pPr>
    </w:p>
    <w:p w14:paraId="33C6A305" w14:textId="2587A976" w:rsidR="001C01E3" w:rsidRPr="00B12F32" w:rsidRDefault="001C01E3" w:rsidP="00B12F32">
      <w:pPr>
        <w:spacing w:before="120" w:after="120" w:line="240" w:lineRule="auto"/>
        <w:jc w:val="both"/>
        <w:rPr>
          <w:rFonts w:cs="Times New Roman"/>
          <w:b/>
          <w:bCs/>
          <w:sz w:val="22"/>
          <w:lang w:val="en-US"/>
        </w:rPr>
      </w:pPr>
      <w:r w:rsidRPr="00B12F32">
        <w:rPr>
          <w:rFonts w:cs="Times New Roman"/>
          <w:b/>
          <w:bCs/>
          <w:sz w:val="22"/>
        </w:rPr>
        <w:t xml:space="preserve">4. </w:t>
      </w:r>
      <w:r w:rsidR="00FE1421" w:rsidRPr="00B12F32">
        <w:rPr>
          <w:rFonts w:cs="Times New Roman"/>
          <w:b/>
          <w:bCs/>
          <w:sz w:val="22"/>
        </w:rPr>
        <w:t>THẢO LUẬN VÀ HÀM Ý</w:t>
      </w:r>
      <w:r w:rsidR="00FE1421" w:rsidRPr="00B12F32">
        <w:rPr>
          <w:rFonts w:cs="Times New Roman"/>
          <w:b/>
          <w:bCs/>
          <w:sz w:val="22"/>
          <w:lang w:val="en-US"/>
        </w:rPr>
        <w:t xml:space="preserve"> CHO VIỆT NAM</w:t>
      </w:r>
    </w:p>
    <w:p w14:paraId="44AF9B1C" w14:textId="250C1923" w:rsidR="001C01E3" w:rsidRPr="00FE1421" w:rsidRDefault="001C01E3" w:rsidP="00B12F32">
      <w:pPr>
        <w:spacing w:before="120" w:after="120" w:line="240" w:lineRule="auto"/>
        <w:jc w:val="both"/>
        <w:rPr>
          <w:rFonts w:cs="Times New Roman"/>
          <w:b/>
          <w:bCs/>
          <w:sz w:val="22"/>
        </w:rPr>
      </w:pPr>
      <w:r w:rsidRPr="00FE1421">
        <w:rPr>
          <w:rFonts w:cs="Times New Roman"/>
          <w:b/>
          <w:bCs/>
          <w:sz w:val="22"/>
        </w:rPr>
        <w:t>4.1. Từ đại học truyền thống đến đại học định hướng sứ mệnh: Liên hệ từ trường hợp WUR đến Việt Nam</w:t>
      </w:r>
    </w:p>
    <w:p w14:paraId="4A39C947" w14:textId="0E0CE41F" w:rsidR="001641D8" w:rsidRPr="003E014A" w:rsidRDefault="001641D8" w:rsidP="00FE1421">
      <w:pPr>
        <w:spacing w:before="120" w:after="120" w:line="240" w:lineRule="auto"/>
        <w:ind w:firstLine="567"/>
        <w:jc w:val="both"/>
        <w:rPr>
          <w:rFonts w:eastAsia="Times New Roman" w:cs="Times New Roman"/>
          <w:sz w:val="22"/>
        </w:rPr>
      </w:pPr>
      <w:r w:rsidRPr="003E014A">
        <w:rPr>
          <w:rFonts w:eastAsia="Times New Roman" w:cs="Times New Roman"/>
          <w:sz w:val="22"/>
        </w:rPr>
        <w:t>Phân tích trường hợp WUR cho thấy phát triển bền vững chỉ trở thành năng lực chuyển đổi khi được thể chế hóa thành sứ mệnh chiến lược, gắn với kế hoạch dài hạn, hệ thống chỉ số và cơ chế điều phối nội bộ. Theo Clark</w:t>
      </w:r>
      <w:r w:rsidRPr="00B12F32">
        <w:rPr>
          <w:rFonts w:eastAsia="Times New Roman" w:cs="Times New Roman"/>
          <w:sz w:val="22"/>
          <w:vertAlign w:val="superscript"/>
          <w:lang w:val="en-US"/>
        </w:rPr>
        <w:t>5</w:t>
      </w:r>
      <w:r w:rsidRPr="003E014A">
        <w:rPr>
          <w:rFonts w:eastAsia="Times New Roman" w:cs="Times New Roman"/>
          <w:sz w:val="22"/>
        </w:rPr>
        <w:t>, đại học khởi nghiệp không chỉ đa dạng hóa nguồn lực mà quan trọng hơn là xây dựng “trung tâm điều phối chiến lược” có khả năng định hướng toàn bộ tổ chức theo một tầm nhìn chung. Trường hợp WUR minh chứng rằng tích hợp SDGs vào chiến lược không dừng ở tuyên bố giá trị, mà được cụ thể hóa thành cấu trúc quản trị, cơ chế đo lường tác động và thiết kế chương trình đào tạo. Điều này phản ánh mô hình đại học định hướng sứ mệnh – nơi đại học chủ động định vị vai trò của mình trong giải quyết các thách thức hệ thống.</w:t>
      </w:r>
    </w:p>
    <w:p w14:paraId="25EB86D4" w14:textId="1CAA72B8" w:rsidR="001641D8" w:rsidRPr="003E014A" w:rsidRDefault="001641D8" w:rsidP="00FE1421">
      <w:pPr>
        <w:spacing w:before="120" w:after="120" w:line="240" w:lineRule="auto"/>
        <w:ind w:firstLine="567"/>
        <w:jc w:val="both"/>
        <w:rPr>
          <w:rFonts w:eastAsia="Times New Roman" w:cs="Times New Roman"/>
          <w:sz w:val="22"/>
        </w:rPr>
      </w:pPr>
      <w:r w:rsidRPr="003E014A">
        <w:rPr>
          <w:rFonts w:eastAsia="Times New Roman" w:cs="Times New Roman"/>
          <w:sz w:val="22"/>
        </w:rPr>
        <w:t>Liên hệ với Việt Nam, tinh thần của Nghị quyết 57 và 71 nhấn mạnh khoa học, công nghệ và đổi mới sáng tạo như động lực trung tâm của phát triển quốc gia</w:t>
      </w:r>
      <w:r w:rsidRPr="00B12F32">
        <w:rPr>
          <w:rFonts w:eastAsia="Times New Roman" w:cs="Times New Roman"/>
          <w:sz w:val="22"/>
          <w:vertAlign w:val="superscript"/>
          <w:lang w:val="en-US"/>
        </w:rPr>
        <w:t>2,3</w:t>
      </w:r>
      <w:r w:rsidRPr="003E014A">
        <w:rPr>
          <w:rFonts w:eastAsia="Times New Roman" w:cs="Times New Roman"/>
          <w:sz w:val="22"/>
        </w:rPr>
        <w:t>. Tuy nhiên, nếu các mục tiêu này chỉ được chuyển hóa thành chỉ tiêu hành chính (số lượng công bố, dự án, hay nguồn thu), đại học sẽ tiếp tục vận hành theo logic nhiệm vụ ngắn hạn. Bài học từ WUR gợi mở rằng chuyển dịch sang đại học định hướng sứ mệnh đòi hỏi xác lập rõ đóng góp chiến lược của từng cơ sở giáo dục đại học đối với các ưu tiên quốc gia (chuyển đổi số, tăng trưởng xanh, nông nghiệp công nghệ cao), từ đó tái cấu trúc chiến lược, cơ chế phân bổ nguồn lực và hệ thống đánh giá.</w:t>
      </w:r>
    </w:p>
    <w:p w14:paraId="5C2D2037" w14:textId="5A04E0FC" w:rsidR="001641D8" w:rsidRPr="00B12F32" w:rsidRDefault="001641D8" w:rsidP="00FE1421">
      <w:pPr>
        <w:spacing w:before="120" w:after="120" w:line="240" w:lineRule="auto"/>
        <w:ind w:firstLine="567"/>
        <w:jc w:val="both"/>
        <w:rPr>
          <w:rFonts w:cs="Times New Roman"/>
          <w:b/>
          <w:bCs/>
          <w:i/>
          <w:iCs/>
          <w:sz w:val="22"/>
        </w:rPr>
      </w:pPr>
      <w:r w:rsidRPr="003E014A">
        <w:rPr>
          <w:rFonts w:eastAsia="Times New Roman" w:cs="Times New Roman"/>
          <w:sz w:val="22"/>
        </w:rPr>
        <w:t>Theo mô hình “ba nhà” của Etzkowitz và Leydesdorff</w:t>
      </w:r>
      <w:r w:rsidRPr="00B12F32">
        <w:rPr>
          <w:rFonts w:eastAsia="Times New Roman" w:cs="Times New Roman"/>
          <w:sz w:val="22"/>
          <w:vertAlign w:val="superscript"/>
          <w:lang w:val="en-US"/>
        </w:rPr>
        <w:t>6</w:t>
      </w:r>
      <w:r w:rsidRPr="003E014A">
        <w:rPr>
          <w:rFonts w:eastAsia="Times New Roman" w:cs="Times New Roman"/>
          <w:sz w:val="22"/>
        </w:rPr>
        <w:t>, đại học định hướng sứ mệnh phải đóng vai trò nút trung tâm trong hệ sinh thái đổi mới, thay vì chỉ là đơn vị thực thi chính sách. Do đó, thực thi các nghị quyết chiến lược trong giáo dục đại học Việt Nam cần gắn với nâng cao tự chủ thực chất, thiết lập cơ chế đo lường tác động dài hạn và củng cố năng lực điều phối chiến lược ở cấp thể chế. Chỉ khi đó, đại học mới có thể trở thành hạ tầng tri thức của chuyển đổi quốc gia, thay vì là một cấu phần hành chính trong hệ thống quản lý.</w:t>
      </w:r>
    </w:p>
    <w:p w14:paraId="18DCF1BB" w14:textId="77777777" w:rsidR="001C01E3" w:rsidRPr="00FE1421" w:rsidRDefault="001C01E3" w:rsidP="00B12F32">
      <w:pPr>
        <w:spacing w:before="120" w:after="120" w:line="240" w:lineRule="auto"/>
        <w:jc w:val="both"/>
        <w:rPr>
          <w:rFonts w:cs="Times New Roman"/>
          <w:b/>
          <w:bCs/>
          <w:sz w:val="22"/>
        </w:rPr>
      </w:pPr>
      <w:r w:rsidRPr="00FE1421">
        <w:rPr>
          <w:rFonts w:cs="Times New Roman"/>
          <w:b/>
          <w:bCs/>
          <w:sz w:val="22"/>
        </w:rPr>
        <w:t>4.2. Cải cách cấu trúc tổ chức và tự chủ học thuật</w:t>
      </w:r>
    </w:p>
    <w:p w14:paraId="6F326008" w14:textId="7FF2DDDD" w:rsidR="001C01E3" w:rsidRPr="00B12F32" w:rsidRDefault="00C85681" w:rsidP="00FE1421">
      <w:pPr>
        <w:spacing w:before="120" w:after="120" w:line="240" w:lineRule="auto"/>
        <w:ind w:firstLine="567"/>
        <w:jc w:val="both"/>
        <w:rPr>
          <w:rFonts w:cs="Times New Roman"/>
          <w:sz w:val="22"/>
        </w:rPr>
      </w:pPr>
      <w:r w:rsidRPr="00B12F32">
        <w:rPr>
          <w:rFonts w:cs="Times New Roman"/>
          <w:sz w:val="22"/>
          <w:lang w:val="en-US"/>
        </w:rPr>
        <w:t xml:space="preserve">Cùng với </w:t>
      </w:r>
      <w:r w:rsidR="001C01E3" w:rsidRPr="00B12F32">
        <w:rPr>
          <w:rFonts w:cs="Times New Roman"/>
          <w:sz w:val="22"/>
        </w:rPr>
        <w:t xml:space="preserve">sự chuyển dịch ở cấp độ sứ mệnh chiến lược, thì bài học từ mục 3.2 cho thấy: sứ mệnh chỉ có thể được hiện thực hóa khi đi kèm cải cách cấu trúc tổ chức và cơ chế tự chủ học thuật. Trường hợp WUR minh chứng rằng mô hình </w:t>
      </w:r>
      <w:r w:rsidRPr="00B12F32">
        <w:rPr>
          <w:rFonts w:cs="Times New Roman"/>
          <w:sz w:val="22"/>
          <w:lang w:val="en-US"/>
        </w:rPr>
        <w:t xml:space="preserve">nhóm nghiên cứu </w:t>
      </w:r>
      <w:r w:rsidR="001C01E3" w:rsidRPr="00B12F32">
        <w:rPr>
          <w:rFonts w:cs="Times New Roman"/>
          <w:sz w:val="22"/>
        </w:rPr>
        <w:t>không đơn thuần là sắp xếp hành chính, mà là thiết kế thể chế cho phép tích hợp nghiên cứu – đào tạo – hợp tác xã hội trong cùng một đơn vị chuyên môn</w:t>
      </w:r>
      <w:r w:rsidRPr="00B12F32">
        <w:rPr>
          <w:rFonts w:cs="Times New Roman"/>
          <w:sz w:val="22"/>
          <w:vertAlign w:val="superscript"/>
          <w:lang w:val="en-US"/>
        </w:rPr>
        <w:t>15</w:t>
      </w:r>
      <w:r w:rsidR="001C01E3" w:rsidRPr="00B12F32">
        <w:rPr>
          <w:rFonts w:cs="Times New Roman"/>
          <w:sz w:val="22"/>
        </w:rPr>
        <w:t>. Cấu trúc này tạo điều kiện để các nhóm học thuật chủ động huy động nguồn lực, phát triển liên ngành và gắn kết với đối tác bên ngoài, đồng thời vẫn vận hành trong khung điều phối chiến lược thống nhất</w:t>
      </w:r>
      <w:r w:rsidRPr="00B12F32">
        <w:rPr>
          <w:rFonts w:cs="Times New Roman"/>
          <w:sz w:val="22"/>
          <w:vertAlign w:val="superscript"/>
          <w:lang w:val="en-US"/>
        </w:rPr>
        <w:t>5</w:t>
      </w:r>
      <w:r w:rsidR="001C01E3" w:rsidRPr="00B12F32">
        <w:rPr>
          <w:rFonts w:cs="Times New Roman"/>
          <w:sz w:val="22"/>
        </w:rPr>
        <w:t>.</w:t>
      </w:r>
    </w:p>
    <w:p w14:paraId="7A9B0F95" w14:textId="670D718D"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Liên hệ với Việt Nam, tinh thần của Nghị quyết 57 và 71 đều nhấn mạnh yêu cầu nâng cao năng lực đổi mới sáng tạo và phát triển nguồn lực tri thức quốc gia</w:t>
      </w:r>
      <w:r w:rsidR="00C85681" w:rsidRPr="00B12F32">
        <w:rPr>
          <w:rFonts w:cs="Times New Roman"/>
          <w:sz w:val="22"/>
          <w:vertAlign w:val="superscript"/>
          <w:lang w:val="en-US"/>
        </w:rPr>
        <w:t>2,3</w:t>
      </w:r>
      <w:r w:rsidRPr="00B12F32">
        <w:rPr>
          <w:rFonts w:cs="Times New Roman"/>
          <w:sz w:val="22"/>
        </w:rPr>
        <w:t xml:space="preserve">. Tuy nhiên, nếu cơ cấu tổ chức đại học vẫn </w:t>
      </w:r>
      <w:r w:rsidRPr="00B12F32">
        <w:rPr>
          <w:rFonts w:cs="Times New Roman"/>
          <w:sz w:val="22"/>
        </w:rPr>
        <w:lastRenderedPageBreak/>
        <w:t>phân mảnh, nặng tính hành chính và thiếu quyền tự chủ thực chất ở cấp đơn vị chuyên môn, thì việc thực thi các mục tiêu này sẽ gặp giới hạn. Tự chủ học thuật không chỉ là tự chủ tài chính hay tuyển sinh, mà là quyền quyết định định hướng nghiên cứu, hợp tác và phân bổ nguồn lực gắn với sứ mệnh dài hạn.</w:t>
      </w:r>
    </w:p>
    <w:p w14:paraId="25A8C913" w14:textId="56A7B8FA"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Mô hình </w:t>
      </w:r>
      <w:r w:rsidR="00C85681" w:rsidRPr="00B12F32">
        <w:rPr>
          <w:rFonts w:cs="Times New Roman"/>
          <w:sz w:val="22"/>
          <w:lang w:val="en-US"/>
        </w:rPr>
        <w:t>“ba nhà”</w:t>
      </w:r>
      <w:r w:rsidR="00C85681" w:rsidRPr="00B12F32">
        <w:rPr>
          <w:rFonts w:cs="Times New Roman"/>
          <w:sz w:val="22"/>
          <w:vertAlign w:val="superscript"/>
          <w:lang w:val="en-US"/>
        </w:rPr>
        <w:t>6</w:t>
      </w:r>
      <w:r w:rsidR="00C85681" w:rsidRPr="00B12F32">
        <w:rPr>
          <w:rFonts w:cs="Times New Roman"/>
          <w:sz w:val="22"/>
          <w:lang w:val="en-US"/>
        </w:rPr>
        <w:t xml:space="preserve"> </w:t>
      </w:r>
      <w:r w:rsidRPr="00B12F32">
        <w:rPr>
          <w:rFonts w:cs="Times New Roman"/>
          <w:sz w:val="22"/>
        </w:rPr>
        <w:t>cho thấy đại học muốn trở thành tác nhân trung tâm của hệ sinh thái đổi mới thì phải có cấu trúc linh hoạt và khả năng phản ứng nhanh trước nhu cầu xã hội. Điều này đòi hỏi Việt Nam xem xét cải cách theo hướng: trao quyền nhiều hơn cho các đơn vị học thuật cốt lõi, thiết lập cơ chế đánh giá dựa trên tác động liên ngành và giảm bớt tầng nấc trung gian hành chính.</w:t>
      </w:r>
      <w:r w:rsidR="00C85681" w:rsidRPr="00B12F32">
        <w:rPr>
          <w:rFonts w:cs="Times New Roman"/>
          <w:sz w:val="22"/>
          <w:lang w:val="en-US"/>
        </w:rPr>
        <w:t xml:space="preserve"> </w:t>
      </w:r>
      <w:r w:rsidRPr="00B12F32">
        <w:rPr>
          <w:rFonts w:cs="Times New Roman"/>
          <w:sz w:val="22"/>
        </w:rPr>
        <w:t>Cải cách cấu trúc vì vậy không chỉ là vấn đề quản lý nội bộ, mà là điều kiện để đại học Việt Nam chuyển từ vị thế thực thi chính sách sang vai trò kiến tạo tri thức và giải pháp cho phát triển quốc gia.</w:t>
      </w:r>
    </w:p>
    <w:p w14:paraId="5B7B12A6" w14:textId="77777777" w:rsidR="001C01E3" w:rsidRPr="00FE1421" w:rsidRDefault="001C01E3" w:rsidP="00B12F32">
      <w:pPr>
        <w:spacing w:before="120" w:after="120" w:line="240" w:lineRule="auto"/>
        <w:jc w:val="both"/>
        <w:rPr>
          <w:rFonts w:cs="Times New Roman"/>
          <w:b/>
          <w:bCs/>
          <w:sz w:val="22"/>
        </w:rPr>
      </w:pPr>
      <w:r w:rsidRPr="00FE1421">
        <w:rPr>
          <w:rFonts w:cs="Times New Roman"/>
          <w:b/>
          <w:bCs/>
          <w:sz w:val="22"/>
        </w:rPr>
        <w:t>4.3. Chuyển đổi số và quản trị dựa trên dữ liệu trong đại học</w:t>
      </w:r>
    </w:p>
    <w:p w14:paraId="1B8756BA" w14:textId="365032B7"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Tiếp nối hai cấp độ sứ mệnh và cấu trúc tổ chức, bài học từ mục 3.3 cho thấy chuyển đổi số và quản trị dựa trên dữ liệu là điều kiện vận hành của đại học định hướng sứ mệnh. Trường hợp WUR minh chứng rằng dữ liệu không chỉ phục vụ báo cáo hành chính, mà trở thành hạ tầng chiến lược để theo dõi tác động nghiên cứu, tích hợp SDGs và điều phối liên ngành</w:t>
      </w:r>
      <w:r w:rsidR="00C85681" w:rsidRPr="00B12F32">
        <w:rPr>
          <w:rFonts w:cs="Times New Roman"/>
          <w:sz w:val="22"/>
          <w:vertAlign w:val="superscript"/>
          <w:lang w:val="en-US"/>
        </w:rPr>
        <w:t>10,14</w:t>
      </w:r>
      <w:r w:rsidR="007A04F3" w:rsidRPr="00B12F32">
        <w:rPr>
          <w:rFonts w:cs="Times New Roman"/>
          <w:sz w:val="22"/>
          <w:vertAlign w:val="superscript"/>
          <w:lang w:val="en-US"/>
        </w:rPr>
        <w:t>,</w:t>
      </w:r>
      <w:r w:rsidR="00C85681" w:rsidRPr="00B12F32">
        <w:rPr>
          <w:rFonts w:cs="Times New Roman"/>
          <w:sz w:val="22"/>
          <w:vertAlign w:val="superscript"/>
          <w:lang w:val="en-US"/>
        </w:rPr>
        <w:t>17</w:t>
      </w:r>
      <w:r w:rsidR="00C85681" w:rsidRPr="00B12F32">
        <w:rPr>
          <w:rFonts w:cs="Times New Roman"/>
          <w:sz w:val="22"/>
          <w:lang w:val="en-US"/>
        </w:rPr>
        <w:t>.</w:t>
      </w:r>
      <w:r w:rsidRPr="00B12F32">
        <w:rPr>
          <w:rFonts w:cs="Times New Roman"/>
          <w:sz w:val="22"/>
        </w:rPr>
        <w:t xml:space="preserve"> Khi các chỉ số về phát thải, hợp tác công</w:t>
      </w:r>
      <w:r w:rsidR="00C85681" w:rsidRPr="00B12F32">
        <w:rPr>
          <w:rFonts w:cs="Times New Roman"/>
          <w:sz w:val="22"/>
          <w:lang w:val="en-US"/>
        </w:rPr>
        <w:t xml:space="preserve"> </w:t>
      </w:r>
      <w:r w:rsidRPr="00B12F32">
        <w:rPr>
          <w:rFonts w:cs="Times New Roman"/>
          <w:sz w:val="22"/>
        </w:rPr>
        <w:t>–</w:t>
      </w:r>
      <w:r w:rsidR="00C85681" w:rsidRPr="00B12F32">
        <w:rPr>
          <w:rFonts w:cs="Times New Roman"/>
          <w:sz w:val="22"/>
          <w:lang w:val="en-US"/>
        </w:rPr>
        <w:t xml:space="preserve"> </w:t>
      </w:r>
      <w:r w:rsidRPr="00B12F32">
        <w:rPr>
          <w:rFonts w:cs="Times New Roman"/>
          <w:sz w:val="22"/>
        </w:rPr>
        <w:t>tư, hay đóng góp học thuật được số hóa và liên thông, chiến lược bền vững mới có thể được đo lường và điều chỉnh kịp thời.</w:t>
      </w:r>
    </w:p>
    <w:p w14:paraId="3216F10B" w14:textId="70C1574F"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Trong bối cảnh Việt Nam, Nghị quyết 57 và 71 đều đặt chuyển đổi số và đổi mới sáng tạo ở vị trí trung tâm của phát triển quốc gia</w:t>
      </w:r>
      <w:r w:rsidR="00C85681" w:rsidRPr="00B12F32">
        <w:rPr>
          <w:rFonts w:cs="Times New Roman"/>
          <w:sz w:val="22"/>
          <w:vertAlign w:val="superscript"/>
          <w:lang w:val="en-US"/>
        </w:rPr>
        <w:t>2,3</w:t>
      </w:r>
      <w:r w:rsidRPr="00B12F32">
        <w:rPr>
          <w:rFonts w:cs="Times New Roman"/>
          <w:sz w:val="22"/>
        </w:rPr>
        <w:t>. Tuy nhiên, ở nhiều cơ sở giáo dục đại học, dữ liệu vẫn phân tán, thiếu chuẩn hóa và chủ yếu phục vụ kiểm tra hành chính. Nếu không xây dựng được hệ thống dữ liệu tích hợp – từ quản lý nghiên cứu, đào tạo đến hợp tác doanh nghiệp – thì đại học khó có thể đóng vai trò hạ tầng tri thức cho chuyển đổi quốc gia.</w:t>
      </w:r>
    </w:p>
    <w:p w14:paraId="3529F3CF" w14:textId="162CA19A"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Về mặt lý thuyết, mô hình </w:t>
      </w:r>
      <w:r w:rsidR="00C85681" w:rsidRPr="00B12F32">
        <w:rPr>
          <w:rFonts w:cs="Times New Roman"/>
          <w:sz w:val="22"/>
          <w:lang w:val="en-US"/>
        </w:rPr>
        <w:t>“ba nhà”</w:t>
      </w:r>
      <w:r w:rsidR="00C85681" w:rsidRPr="00B12F32">
        <w:rPr>
          <w:rFonts w:cs="Times New Roman"/>
          <w:sz w:val="22"/>
          <w:vertAlign w:val="superscript"/>
          <w:lang w:val="en-US"/>
        </w:rPr>
        <w:t>6</w:t>
      </w:r>
      <w:r w:rsidRPr="00B12F32">
        <w:rPr>
          <w:rFonts w:cs="Times New Roman"/>
          <w:sz w:val="22"/>
        </w:rPr>
        <w:t xml:space="preserve"> hàm ý rằng sự phối hợp giữa đại học – doanh nghiệp – nhà nước cần dựa trên thông tin minh bạch và chia sẻ dữ liệu. Đồng thời, quan điểm đại học khởi nghiệp</w:t>
      </w:r>
      <w:r w:rsidR="00C85681" w:rsidRPr="00B12F32">
        <w:rPr>
          <w:rFonts w:cs="Times New Roman"/>
          <w:sz w:val="22"/>
          <w:vertAlign w:val="superscript"/>
          <w:lang w:val="en-US"/>
        </w:rPr>
        <w:t>5</w:t>
      </w:r>
      <w:r w:rsidRPr="00B12F32">
        <w:rPr>
          <w:rFonts w:cs="Times New Roman"/>
          <w:sz w:val="22"/>
        </w:rPr>
        <w:t xml:space="preserve"> nhấn mạnh năng lực điều phối trung tâm như một yếu tố quyết định thành công của cải cách tổ chức. Điều này gợi ý rằng chuyển đổi số không chỉ là đầu tư công nghệ, mà là tái cấu trúc cơ chế ra quyết định dựa trên bằng chứng.</w:t>
      </w:r>
    </w:p>
    <w:p w14:paraId="257B2A9C" w14:textId="77777777"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Vì vậy, thực thi tinh thần Nghị quyết 57 và 71 trong giáo dục đại học đòi hỏi xây dựng hệ sinh thái dữ liệu dùng chung, thiết lập hệ thống đánh giá dựa trên tác động dài hạn và thúc đẩy văn hóa quản trị minh bạch. Đây chính là bước chuyển từ “quản lý số hóa” sang “quản trị dựa trên dữ liệu”.</w:t>
      </w:r>
    </w:p>
    <w:p w14:paraId="285655DF" w14:textId="77777777" w:rsidR="001C01E3" w:rsidRPr="00FE1421" w:rsidRDefault="001C01E3" w:rsidP="00B12F32">
      <w:pPr>
        <w:spacing w:before="120" w:after="120" w:line="240" w:lineRule="auto"/>
        <w:jc w:val="both"/>
        <w:rPr>
          <w:rFonts w:cs="Times New Roman"/>
          <w:b/>
          <w:bCs/>
          <w:sz w:val="22"/>
        </w:rPr>
      </w:pPr>
      <w:r w:rsidRPr="00FE1421">
        <w:rPr>
          <w:rFonts w:cs="Times New Roman"/>
          <w:b/>
          <w:bCs/>
          <w:sz w:val="22"/>
        </w:rPr>
        <w:t>4.4. Hoàn thiện chuyển dịch: từ cải cách đơn lẻ đến tái cấu trúc hệ sinh thái đại học</w:t>
      </w:r>
    </w:p>
    <w:p w14:paraId="132908EE" w14:textId="102A36C8"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Tiếp nối ba nội dung trên, có thể thấy chuyển dịch từ đại học truyền thống sang đại học định hướng sứ mệnh không phải là một cải cách đơn tuyến, mà là quá trình tái cấu trúc đồng bộ giữa chiến lược, tổ chức và cơ chế vận hành. Như trường hợp WUR đã cho thấy ở mục 3, sứ mệnh bền vững chỉ trở thành năng lực thể chế khi được “neo” vào cấu trúc </w:t>
      </w:r>
      <w:r w:rsidR="00C85681" w:rsidRPr="00B12F32">
        <w:rPr>
          <w:rFonts w:cs="Times New Roman"/>
          <w:sz w:val="22"/>
          <w:lang w:val="en-US"/>
        </w:rPr>
        <w:t>nhóm nghiên cứu</w:t>
      </w:r>
      <w:r w:rsidRPr="00B12F32">
        <w:rPr>
          <w:rFonts w:cs="Times New Roman"/>
          <w:sz w:val="22"/>
        </w:rPr>
        <w:t>, được vận hành bằng hạ tầng dữ liệu và được mở rộng thông qua hệ sinh thái đổi mới. Nói cách khác, sứ mệnh không thể tồn tại độc lập với cấu trúc tổ chức và công cụ quản trị.</w:t>
      </w:r>
    </w:p>
    <w:p w14:paraId="28485FCA" w14:textId="77777777"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Đặt trong bối cảnh Việt Nam, tinh thần của Nghị quyết 57 và 71 không chỉ yêu cầu nâng cao năng lực khoa học – công nghệ, mà hàm ý một bước chuyển sâu hơn: tái định vị đại học như hạ tầng chiến lược của phát triển quốc gia. Điều này đòi hỏi sự phối hợp giữa cải cách bên trong (tự chủ, cấu trúc linh hoạt, quản trị dữ liệu) và liên kết bên ngoài (doanh nghiệp, địa phương, cơ quan hoạch định chính sách). Nếu chỉ nhấn mạnh một khía cạnh – chẳng hạn tăng đầu tư hay mở rộng tuyển sinh – mà thiếu tái cấu trúc tổng thể, đại học sẽ khó đáp ứng vai trò kiến tạo tri thức và giải pháp cho chuyển đổi xanh.</w:t>
      </w:r>
    </w:p>
    <w:p w14:paraId="7B8F8D3D" w14:textId="26F6682B" w:rsidR="001C01E3" w:rsidRPr="00B12F32" w:rsidRDefault="001C01E3" w:rsidP="00FE1421">
      <w:pPr>
        <w:spacing w:before="120" w:after="120" w:line="240" w:lineRule="auto"/>
        <w:ind w:firstLine="567"/>
        <w:jc w:val="both"/>
        <w:rPr>
          <w:rFonts w:cs="Times New Roman"/>
          <w:sz w:val="22"/>
        </w:rPr>
      </w:pPr>
      <w:r w:rsidRPr="00B12F32">
        <w:rPr>
          <w:rFonts w:cs="Times New Roman"/>
          <w:sz w:val="22"/>
        </w:rPr>
        <w:t xml:space="preserve">Vì vậy, </w:t>
      </w:r>
      <w:r w:rsidR="007A04F3" w:rsidRPr="00B12F32">
        <w:rPr>
          <w:rFonts w:cs="Times New Roman"/>
          <w:sz w:val="22"/>
          <w:lang w:val="en-US"/>
        </w:rPr>
        <w:t xml:space="preserve">phân tích </w:t>
      </w:r>
      <w:r w:rsidR="00C85681" w:rsidRPr="00B12F32">
        <w:rPr>
          <w:rFonts w:cs="Times New Roman"/>
          <w:sz w:val="22"/>
          <w:lang w:val="en-US"/>
        </w:rPr>
        <w:t xml:space="preserve">trường hợp của WUR </w:t>
      </w:r>
      <w:r w:rsidR="007A04F3" w:rsidRPr="00B12F32">
        <w:rPr>
          <w:rFonts w:cs="Times New Roman"/>
          <w:sz w:val="22"/>
          <w:lang w:val="en-US"/>
        </w:rPr>
        <w:t xml:space="preserve">cho thấy ràng </w:t>
      </w:r>
      <w:r w:rsidRPr="00B12F32">
        <w:rPr>
          <w:rFonts w:cs="Times New Roman"/>
          <w:sz w:val="22"/>
        </w:rPr>
        <w:t>chuyển dịch sang đại học định hướng sứ mệnh không phải lựa chọn tùy nghi, mà là yêu cầu tất yếu trong giai đoạn phát triển mới. Khi chiến lược quốc gia đặt đổi mới sáng tạo và chuyển đổi số ở vị trí trung tâm, thì giáo dục đại học phải trở thành không gian hội tụ của tri thức, công nghệ và trách nhiệm xã hội. Chỉ trong cấu trúc đó, các nghị quyết mới có thể được chuyển hóa thành năng lực phát triển bền vững thực chất.</w:t>
      </w:r>
    </w:p>
    <w:p w14:paraId="67D3CB2F" w14:textId="77777777" w:rsidR="00FE1421" w:rsidRDefault="00FE1421" w:rsidP="00B12F32">
      <w:pPr>
        <w:spacing w:before="120" w:after="120" w:line="240" w:lineRule="auto"/>
        <w:jc w:val="both"/>
        <w:rPr>
          <w:rFonts w:cs="Times New Roman"/>
          <w:b/>
          <w:bCs/>
          <w:sz w:val="22"/>
        </w:rPr>
      </w:pPr>
    </w:p>
    <w:p w14:paraId="34ACDEAA" w14:textId="1E484AAE" w:rsidR="00577B5E" w:rsidRPr="00B12F32" w:rsidRDefault="00FE1421" w:rsidP="00B12F32">
      <w:pPr>
        <w:spacing w:before="120" w:after="120" w:line="240" w:lineRule="auto"/>
        <w:jc w:val="both"/>
        <w:rPr>
          <w:rFonts w:cs="Times New Roman"/>
          <w:b/>
          <w:bCs/>
          <w:sz w:val="22"/>
        </w:rPr>
      </w:pPr>
      <w:r w:rsidRPr="00B12F32">
        <w:rPr>
          <w:rFonts w:cs="Times New Roman"/>
          <w:b/>
          <w:bCs/>
          <w:sz w:val="22"/>
        </w:rPr>
        <w:t>5. KẾT LUẬN</w:t>
      </w:r>
    </w:p>
    <w:p w14:paraId="66E6F300" w14:textId="40F724B3" w:rsidR="00577B5E" w:rsidRPr="00B12F32" w:rsidRDefault="00577B5E" w:rsidP="00FE1421">
      <w:pPr>
        <w:spacing w:before="120" w:after="120" w:line="240" w:lineRule="auto"/>
        <w:ind w:firstLine="567"/>
        <w:jc w:val="both"/>
        <w:rPr>
          <w:rFonts w:cs="Times New Roman"/>
          <w:sz w:val="22"/>
        </w:rPr>
      </w:pPr>
      <w:r w:rsidRPr="00B12F32">
        <w:rPr>
          <w:rFonts w:cs="Times New Roman"/>
          <w:sz w:val="22"/>
        </w:rPr>
        <w:t xml:space="preserve">Bài viết đã phân tích mô hình quản trị hệ sinh thái đổi mới xanh tại WUR như một trường hợp điển hình về tái cấu trúc vai trò đại học trong kỷ nguyên phát triển bền vững. Thông qua khung lý thuyết về đại </w:t>
      </w:r>
      <w:r w:rsidRPr="00B12F32">
        <w:rPr>
          <w:rFonts w:cs="Times New Roman"/>
          <w:sz w:val="22"/>
        </w:rPr>
        <w:lastRenderedPageBreak/>
        <w:t>học khởi nghiệp</w:t>
      </w:r>
      <w:r w:rsidR="00C85681" w:rsidRPr="00B12F32">
        <w:rPr>
          <w:rFonts w:cs="Times New Roman"/>
          <w:sz w:val="22"/>
          <w:vertAlign w:val="superscript"/>
          <w:lang w:val="en-US"/>
        </w:rPr>
        <w:t>5</w:t>
      </w:r>
      <w:r w:rsidRPr="00B12F32">
        <w:rPr>
          <w:rFonts w:cs="Times New Roman"/>
          <w:sz w:val="22"/>
        </w:rPr>
        <w:t xml:space="preserve">, mô hình </w:t>
      </w:r>
      <w:r w:rsidR="00C85681" w:rsidRPr="00B12F32">
        <w:rPr>
          <w:rFonts w:cs="Times New Roman"/>
          <w:sz w:val="22"/>
          <w:lang w:val="en-US"/>
        </w:rPr>
        <w:t>“ba nhà”</w:t>
      </w:r>
      <w:r w:rsidR="00C85681" w:rsidRPr="00B12F32">
        <w:rPr>
          <w:rFonts w:cs="Times New Roman"/>
          <w:sz w:val="22"/>
          <w:vertAlign w:val="superscript"/>
          <w:lang w:val="en-US"/>
        </w:rPr>
        <w:t>6</w:t>
      </w:r>
      <w:r w:rsidRPr="00B12F32">
        <w:rPr>
          <w:rFonts w:cs="Times New Roman"/>
          <w:sz w:val="22"/>
        </w:rPr>
        <w:t xml:space="preserve"> và tư duy định hướng sứ mệnh gắn với SDGs</w:t>
      </w:r>
      <w:r w:rsidR="00C85681" w:rsidRPr="00B12F32">
        <w:rPr>
          <w:rFonts w:cs="Times New Roman"/>
          <w:sz w:val="22"/>
          <w:vertAlign w:val="superscript"/>
          <w:lang w:val="en-US"/>
        </w:rPr>
        <w:t>10</w:t>
      </w:r>
      <w:r w:rsidRPr="00B12F32">
        <w:rPr>
          <w:rFonts w:cs="Times New Roman"/>
          <w:sz w:val="22"/>
        </w:rPr>
        <w:t xml:space="preserve">, </w:t>
      </w:r>
      <w:r w:rsidR="00C85681" w:rsidRPr="00B12F32">
        <w:rPr>
          <w:rFonts w:cs="Times New Roman"/>
          <w:sz w:val="22"/>
          <w:lang w:val="en-US"/>
        </w:rPr>
        <w:t xml:space="preserve">bài viết </w:t>
      </w:r>
      <w:r w:rsidRPr="00B12F32">
        <w:rPr>
          <w:rFonts w:cs="Times New Roman"/>
          <w:sz w:val="22"/>
        </w:rPr>
        <w:t>cho thấy chuyển đổi đại học không thể diễn ra ở một cấp độ đơn lẻ, mà phải là quá trình tích hợp giữa chiến lược, cấu trúc tổ chức và cơ chế vận hành dựa trên dữ liệu.</w:t>
      </w:r>
    </w:p>
    <w:p w14:paraId="45053FA2" w14:textId="15521B5D" w:rsidR="00577B5E" w:rsidRPr="00B12F32" w:rsidRDefault="00577B5E" w:rsidP="00FE1421">
      <w:pPr>
        <w:spacing w:before="120" w:after="120" w:line="240" w:lineRule="auto"/>
        <w:ind w:firstLine="567"/>
        <w:jc w:val="both"/>
        <w:rPr>
          <w:rFonts w:cs="Times New Roman"/>
          <w:sz w:val="22"/>
        </w:rPr>
      </w:pPr>
      <w:r w:rsidRPr="00B12F32">
        <w:rPr>
          <w:rFonts w:cs="Times New Roman"/>
          <w:sz w:val="22"/>
        </w:rPr>
        <w:t xml:space="preserve">Trường hợp WUR minh chứng rằng phát triển bền vững có thể được thể chế hóa thành sứ mệnh dài hạn; mô hình </w:t>
      </w:r>
      <w:r w:rsidR="00C85681" w:rsidRPr="00B12F32">
        <w:rPr>
          <w:rFonts w:cs="Times New Roman"/>
          <w:sz w:val="22"/>
          <w:lang w:val="en-US"/>
        </w:rPr>
        <w:t xml:space="preserve">nhóm nghiên cứu </w:t>
      </w:r>
      <w:r w:rsidRPr="00B12F32">
        <w:rPr>
          <w:rFonts w:cs="Times New Roman"/>
          <w:sz w:val="22"/>
        </w:rPr>
        <w:t xml:space="preserve">tạo ra cấu trúc linh hoạt, liên ngành; và chuyển đổi số giúp bảo đảm tính minh bạch, khả năng đo lường và điều phối chiến lược. </w:t>
      </w:r>
      <w:r w:rsidR="00C85681" w:rsidRPr="00B12F32">
        <w:rPr>
          <w:rFonts w:cs="Times New Roman"/>
          <w:sz w:val="22"/>
          <w:lang w:val="en-US"/>
        </w:rPr>
        <w:t xml:space="preserve">Khuôn viên </w:t>
      </w:r>
      <w:r w:rsidRPr="00B12F32">
        <w:rPr>
          <w:rFonts w:cs="Times New Roman"/>
          <w:sz w:val="22"/>
        </w:rPr>
        <w:t>Wageningen, với vai trò nền tảng đổi mới mở, hoàn thiện cấu trúc này bằng cách kết nối đại học với doanh nghiệp và nhà nước trong giải quyết các thách thức hệ thống. Nhờ đó, đại học không chỉ sản xuất tri thức mà còn kiến tạo tác động xã hội và chính sách.</w:t>
      </w:r>
    </w:p>
    <w:p w14:paraId="7567149F" w14:textId="77777777" w:rsidR="00577B5E" w:rsidRPr="00B12F32" w:rsidRDefault="00577B5E" w:rsidP="00FE1421">
      <w:pPr>
        <w:spacing w:before="120" w:after="120" w:line="240" w:lineRule="auto"/>
        <w:ind w:firstLine="567"/>
        <w:jc w:val="both"/>
        <w:rPr>
          <w:rFonts w:cs="Times New Roman"/>
          <w:sz w:val="22"/>
        </w:rPr>
      </w:pPr>
      <w:r w:rsidRPr="00B12F32">
        <w:rPr>
          <w:rFonts w:cs="Times New Roman"/>
          <w:sz w:val="22"/>
        </w:rPr>
        <w:t>Liên hệ với Việt Nam, tinh thần của Nghị quyết 57 và Nghị quyết 71 đặt ra yêu cầu tương tự: khoa học, công nghệ, đổi mới sáng tạo và chuyển đổi số phải trở thành động lực trung tâm của phát triển quốc gia. Tuy nhiên, để hiện thực hóa mục tiêu đó, giáo dục đại học cần được tái cấu trúc theo hướng định hướng sứ mệnh, tăng tự chủ gắn với trách nhiệm giải trình, và xây dựng hạ tầng dữ liệu phục vụ quản trị dựa trên bằng chứng.</w:t>
      </w:r>
    </w:p>
    <w:p w14:paraId="0E8F11C0" w14:textId="73B65E65" w:rsidR="00577B5E" w:rsidRPr="00B12F32" w:rsidRDefault="00577B5E" w:rsidP="00FE1421">
      <w:pPr>
        <w:spacing w:before="120" w:after="120" w:line="240" w:lineRule="auto"/>
        <w:ind w:firstLine="567"/>
        <w:jc w:val="both"/>
        <w:rPr>
          <w:rFonts w:cs="Times New Roman"/>
          <w:sz w:val="22"/>
        </w:rPr>
      </w:pPr>
      <w:r w:rsidRPr="00B12F32">
        <w:rPr>
          <w:rFonts w:cs="Times New Roman"/>
          <w:sz w:val="22"/>
        </w:rPr>
        <w:t>T</w:t>
      </w:r>
      <w:r w:rsidR="00C85681" w:rsidRPr="00B12F32">
        <w:rPr>
          <w:rFonts w:cs="Times New Roman"/>
          <w:sz w:val="22"/>
          <w:lang w:val="en-US"/>
        </w:rPr>
        <w:t xml:space="preserve">ừ trường hợp thực tế WUR, </w:t>
      </w:r>
      <w:r w:rsidRPr="00B12F32">
        <w:rPr>
          <w:rFonts w:cs="Times New Roman"/>
          <w:sz w:val="22"/>
        </w:rPr>
        <w:t>bài viết đề xuất khái niệm “quản trị hệ sinh thái đổi mới xanh” như một năng lực thể chế tích hợp giữa sứ mệnh chiến lược, cấu trúc tổ chức linh hoạt và cơ chế điều phối số hóa. Đây có thể xem là một hướng tiếp cận phù hợp để nghiên cứu và cải cách giáo dục đại học Việt Nam trong bối cảnh chuyển đổi xanh và chuyển đổi số toàn cầu.</w:t>
      </w:r>
    </w:p>
    <w:p w14:paraId="6A11325A" w14:textId="77777777" w:rsidR="00C85681" w:rsidRPr="00B12F32" w:rsidRDefault="00C85681" w:rsidP="00B12F32">
      <w:pPr>
        <w:spacing w:before="120" w:after="120" w:line="240" w:lineRule="auto"/>
        <w:jc w:val="both"/>
        <w:rPr>
          <w:rFonts w:cs="Times New Roman"/>
          <w:b/>
          <w:bCs/>
          <w:sz w:val="22"/>
          <w:lang w:val="en-US"/>
        </w:rPr>
      </w:pPr>
    </w:p>
    <w:p w14:paraId="7E85F0CB" w14:textId="09F07DA7" w:rsidR="006F21D6" w:rsidRPr="00B12F32" w:rsidRDefault="00F573EE" w:rsidP="00B12F32">
      <w:pPr>
        <w:spacing w:before="120" w:after="120" w:line="240" w:lineRule="auto"/>
        <w:jc w:val="both"/>
        <w:rPr>
          <w:rFonts w:cs="Times New Roman"/>
          <w:b/>
          <w:bCs/>
          <w:sz w:val="22"/>
          <w:lang w:val="en-US"/>
        </w:rPr>
      </w:pPr>
      <w:r w:rsidRPr="00B12F32">
        <w:rPr>
          <w:rFonts w:cs="Times New Roman"/>
          <w:b/>
          <w:bCs/>
          <w:sz w:val="22"/>
          <w:lang w:val="en-US"/>
        </w:rPr>
        <w:t>TÀI LIỆU THAM KHẢO</w:t>
      </w:r>
    </w:p>
    <w:p w14:paraId="7F110E32" w14:textId="3690D1AC" w:rsidR="00497694" w:rsidRPr="00E63124" w:rsidRDefault="00497694" w:rsidP="00AA598F">
      <w:pPr>
        <w:pStyle w:val="ListParagraph"/>
        <w:numPr>
          <w:ilvl w:val="0"/>
          <w:numId w:val="3"/>
        </w:numPr>
        <w:spacing w:before="120" w:after="120" w:line="240" w:lineRule="auto"/>
        <w:jc w:val="both"/>
        <w:rPr>
          <w:sz w:val="20"/>
          <w:szCs w:val="20"/>
        </w:rPr>
      </w:pPr>
      <w:r w:rsidRPr="00E63124">
        <w:rPr>
          <w:sz w:val="20"/>
          <w:szCs w:val="20"/>
        </w:rPr>
        <w:t>Arief Jusuf A., &amp; Natalia I. Sustainable in higher education of Wageningen University &amp; Research</w:t>
      </w:r>
      <w:r w:rsidR="00F573EE" w:rsidRPr="00E63124">
        <w:rPr>
          <w:sz w:val="20"/>
          <w:szCs w:val="20"/>
          <w:lang w:val="en-US"/>
        </w:rPr>
        <w:t xml:space="preserve"> (</w:t>
      </w:r>
      <w:r w:rsidR="00F573EE" w:rsidRPr="00E63124">
        <w:rPr>
          <w:rFonts w:cs="Times New Roman"/>
          <w:sz w:val="20"/>
          <w:szCs w:val="20"/>
        </w:rPr>
        <w:t>Tính bền vững trong giáo dục đại học tại Đại học Nghiên cứu Wageningen</w:t>
      </w:r>
      <w:r w:rsidR="00F573EE" w:rsidRPr="00E63124">
        <w:rPr>
          <w:sz w:val="20"/>
          <w:szCs w:val="20"/>
          <w:lang w:val="en-US"/>
        </w:rPr>
        <w:t>)</w:t>
      </w:r>
      <w:r w:rsidRPr="00E63124">
        <w:rPr>
          <w:sz w:val="20"/>
          <w:szCs w:val="20"/>
        </w:rPr>
        <w:t xml:space="preserve">. </w:t>
      </w:r>
      <w:r w:rsidRPr="00E63124">
        <w:rPr>
          <w:i/>
          <w:iCs/>
          <w:sz w:val="20"/>
          <w:szCs w:val="20"/>
        </w:rPr>
        <w:t>International Journal of Social Science, 4(6),</w:t>
      </w:r>
      <w:r w:rsidR="00AA598F" w:rsidRPr="00E63124">
        <w:rPr>
          <w:i/>
          <w:iCs/>
          <w:sz w:val="20"/>
          <w:szCs w:val="20"/>
          <w:lang w:val="en-US"/>
        </w:rPr>
        <w:t xml:space="preserve"> </w:t>
      </w:r>
      <w:r w:rsidR="00AA598F" w:rsidRPr="00E63124">
        <w:rPr>
          <w:b/>
          <w:bCs/>
          <w:sz w:val="20"/>
          <w:szCs w:val="20"/>
          <w:lang w:val="en-US"/>
        </w:rPr>
        <w:t>2025,</w:t>
      </w:r>
      <w:r w:rsidRPr="00E63124">
        <w:rPr>
          <w:sz w:val="20"/>
          <w:szCs w:val="20"/>
        </w:rPr>
        <w:t xml:space="preserve"> 751–760. </w:t>
      </w:r>
      <w:hyperlink r:id="rId8" w:tgtFrame="_new" w:history="1">
        <w:r w:rsidRPr="00E63124">
          <w:rPr>
            <w:rStyle w:val="Hyperlink"/>
            <w:sz w:val="20"/>
            <w:szCs w:val="20"/>
          </w:rPr>
          <w:t>https://doi.org/10.53625/ijss.v4i6.9905</w:t>
        </w:r>
      </w:hyperlink>
    </w:p>
    <w:p w14:paraId="6D474174" w14:textId="6475E12B" w:rsidR="00AA598F" w:rsidRPr="00E63124" w:rsidRDefault="00AA598F" w:rsidP="00AA598F">
      <w:pPr>
        <w:pStyle w:val="ListParagraph"/>
        <w:numPr>
          <w:ilvl w:val="0"/>
          <w:numId w:val="3"/>
        </w:numPr>
        <w:spacing w:before="120" w:after="120" w:line="240" w:lineRule="auto"/>
        <w:jc w:val="both"/>
        <w:rPr>
          <w:sz w:val="20"/>
          <w:szCs w:val="20"/>
        </w:rPr>
      </w:pPr>
      <w:r w:rsidRPr="00E63124">
        <w:rPr>
          <w:sz w:val="20"/>
          <w:szCs w:val="20"/>
        </w:rPr>
        <w:t xml:space="preserve">Bộ Chính trị. </w:t>
      </w:r>
      <w:r w:rsidRPr="00E63124">
        <w:rPr>
          <w:i/>
          <w:iCs/>
          <w:sz w:val="20"/>
          <w:szCs w:val="20"/>
        </w:rPr>
        <w:t>Nghị quyết của Bộ Chính trị về đột phá phát triển khoa học, công nghệ, đổi mới sáng tạo và chuyển đổi số quốc gia.</w:t>
      </w:r>
      <w:r w:rsidRPr="00E63124">
        <w:rPr>
          <w:sz w:val="20"/>
          <w:szCs w:val="20"/>
        </w:rPr>
        <w:t> Số 57-NQ/TW, ngày 22/12/2024. Ban Chấp hành Trung ương Đảng Cộng sản Việt Nam</w:t>
      </w:r>
      <w:r w:rsidRPr="00E63124">
        <w:rPr>
          <w:sz w:val="20"/>
          <w:szCs w:val="20"/>
          <w:lang w:val="en-US"/>
        </w:rPr>
        <w:t xml:space="preserve">, </w:t>
      </w:r>
      <w:r w:rsidRPr="00E63124">
        <w:rPr>
          <w:b/>
          <w:bCs/>
          <w:sz w:val="20"/>
          <w:szCs w:val="20"/>
          <w:lang w:val="en-US"/>
        </w:rPr>
        <w:t>2024</w:t>
      </w:r>
      <w:r w:rsidRPr="00E63124">
        <w:rPr>
          <w:sz w:val="20"/>
          <w:szCs w:val="20"/>
        </w:rPr>
        <w:t>.</w:t>
      </w:r>
    </w:p>
    <w:p w14:paraId="055531ED" w14:textId="5CB2A1C2" w:rsidR="00AA598F" w:rsidRPr="00E63124" w:rsidRDefault="00AA598F" w:rsidP="00AA598F">
      <w:pPr>
        <w:pStyle w:val="ListParagraph"/>
        <w:numPr>
          <w:ilvl w:val="0"/>
          <w:numId w:val="3"/>
        </w:numPr>
        <w:spacing w:before="120" w:after="120" w:line="240" w:lineRule="auto"/>
        <w:jc w:val="both"/>
        <w:rPr>
          <w:sz w:val="20"/>
          <w:szCs w:val="20"/>
        </w:rPr>
      </w:pPr>
      <w:r w:rsidRPr="00E63124">
        <w:rPr>
          <w:sz w:val="20"/>
          <w:szCs w:val="20"/>
        </w:rPr>
        <w:t xml:space="preserve">Bộ Chính trị. </w:t>
      </w:r>
      <w:r w:rsidRPr="00E63124">
        <w:rPr>
          <w:i/>
          <w:iCs/>
          <w:sz w:val="20"/>
          <w:szCs w:val="20"/>
        </w:rPr>
        <w:t>Nghị quyết của Bộ Chính trị về đột phá phát triển giáo dục và đào tạo.</w:t>
      </w:r>
      <w:r w:rsidRPr="00E63124">
        <w:rPr>
          <w:sz w:val="20"/>
          <w:szCs w:val="20"/>
        </w:rPr>
        <w:t xml:space="preserve"> Số 71-NQ/TW, ngày 22/08/2025. Ban Chấp hành Trung ương Đảng Cộng sản Việt Nam</w:t>
      </w:r>
      <w:r w:rsidRPr="00E63124">
        <w:rPr>
          <w:sz w:val="20"/>
          <w:szCs w:val="20"/>
          <w:lang w:val="en-US"/>
        </w:rPr>
        <w:t xml:space="preserve">, </w:t>
      </w:r>
      <w:r w:rsidRPr="00E63124">
        <w:rPr>
          <w:b/>
          <w:bCs/>
          <w:sz w:val="20"/>
          <w:szCs w:val="20"/>
          <w:lang w:val="en-US"/>
        </w:rPr>
        <w:t>2025</w:t>
      </w:r>
      <w:r w:rsidRPr="00E63124">
        <w:rPr>
          <w:sz w:val="20"/>
          <w:szCs w:val="20"/>
          <w:lang w:val="en-US"/>
        </w:rPr>
        <w:t>.</w:t>
      </w:r>
    </w:p>
    <w:p w14:paraId="48CFCC64" w14:textId="612B05A1" w:rsidR="00497694" w:rsidRPr="00E63124" w:rsidRDefault="00497694" w:rsidP="00AA598F">
      <w:pPr>
        <w:pStyle w:val="ListParagraph"/>
        <w:numPr>
          <w:ilvl w:val="0"/>
          <w:numId w:val="3"/>
        </w:numPr>
        <w:spacing w:before="120" w:after="120" w:line="240" w:lineRule="auto"/>
        <w:jc w:val="both"/>
        <w:rPr>
          <w:sz w:val="20"/>
          <w:szCs w:val="20"/>
        </w:rPr>
      </w:pPr>
      <w:r w:rsidRPr="00E63124">
        <w:rPr>
          <w:sz w:val="20"/>
          <w:szCs w:val="20"/>
        </w:rPr>
        <w:t>Boström M., Jönsson A. M., Lockie S., Mol A. P. J. &amp; Oosterveer P. (2015). Sustainable and responsible supply chain governance</w:t>
      </w:r>
      <w:r w:rsidR="00F573EE" w:rsidRPr="00E63124">
        <w:rPr>
          <w:sz w:val="20"/>
          <w:szCs w:val="20"/>
          <w:lang w:val="en-US"/>
        </w:rPr>
        <w:t xml:space="preserve"> (</w:t>
      </w:r>
      <w:r w:rsidR="00171055" w:rsidRPr="00E63124">
        <w:rPr>
          <w:sz w:val="20"/>
          <w:szCs w:val="20"/>
          <w:lang w:val="en-US"/>
        </w:rPr>
        <w:t>Q</w:t>
      </w:r>
      <w:r w:rsidR="00F573EE" w:rsidRPr="00E63124">
        <w:rPr>
          <w:rFonts w:cs="Times New Roman"/>
          <w:sz w:val="20"/>
          <w:szCs w:val="20"/>
        </w:rPr>
        <w:t>uản trị chuỗi cung ứng bền vững và có trách nhiệm</w:t>
      </w:r>
      <w:r w:rsidR="00F573EE" w:rsidRPr="00E63124">
        <w:rPr>
          <w:sz w:val="20"/>
          <w:szCs w:val="20"/>
          <w:lang w:val="en-US"/>
        </w:rPr>
        <w:t>)</w:t>
      </w:r>
      <w:r w:rsidRPr="00E63124">
        <w:rPr>
          <w:sz w:val="20"/>
          <w:szCs w:val="20"/>
        </w:rPr>
        <w:t xml:space="preserve">. </w:t>
      </w:r>
      <w:r w:rsidRPr="00E63124">
        <w:rPr>
          <w:i/>
          <w:iCs/>
          <w:sz w:val="20"/>
          <w:szCs w:val="20"/>
        </w:rPr>
        <w:t>Journal of Cleaner Production, 107,</w:t>
      </w:r>
      <w:r w:rsidR="00AA598F" w:rsidRPr="00E63124">
        <w:rPr>
          <w:sz w:val="20"/>
          <w:szCs w:val="20"/>
          <w:lang w:val="en-US"/>
        </w:rPr>
        <w:t xml:space="preserve"> </w:t>
      </w:r>
      <w:r w:rsidR="00AA598F" w:rsidRPr="00E63124">
        <w:rPr>
          <w:b/>
          <w:bCs/>
          <w:sz w:val="20"/>
          <w:szCs w:val="20"/>
          <w:lang w:val="en-US"/>
        </w:rPr>
        <w:t>2015</w:t>
      </w:r>
      <w:r w:rsidR="00AA598F" w:rsidRPr="00E63124">
        <w:rPr>
          <w:sz w:val="20"/>
          <w:szCs w:val="20"/>
          <w:lang w:val="en-US"/>
        </w:rPr>
        <w:t>,</w:t>
      </w:r>
      <w:r w:rsidRPr="00E63124">
        <w:rPr>
          <w:sz w:val="20"/>
          <w:szCs w:val="20"/>
        </w:rPr>
        <w:t xml:space="preserve"> 1–7. </w:t>
      </w:r>
      <w:hyperlink r:id="rId9" w:tgtFrame="_new" w:history="1">
        <w:r w:rsidRPr="00E63124">
          <w:rPr>
            <w:rStyle w:val="Hyperlink"/>
            <w:sz w:val="20"/>
            <w:szCs w:val="20"/>
          </w:rPr>
          <w:t>https://doi.org/10.1016/j.jclepro.2014.11.050</w:t>
        </w:r>
      </w:hyperlink>
    </w:p>
    <w:p w14:paraId="18412C5A" w14:textId="2732048C" w:rsidR="00497694" w:rsidRPr="00E63124" w:rsidRDefault="00497694" w:rsidP="00AA598F">
      <w:pPr>
        <w:pStyle w:val="ListParagraph"/>
        <w:numPr>
          <w:ilvl w:val="0"/>
          <w:numId w:val="3"/>
        </w:numPr>
        <w:spacing w:before="120" w:after="120" w:line="240" w:lineRule="auto"/>
        <w:jc w:val="both"/>
        <w:rPr>
          <w:sz w:val="20"/>
          <w:szCs w:val="20"/>
        </w:rPr>
      </w:pPr>
      <w:r w:rsidRPr="00E63124">
        <w:rPr>
          <w:sz w:val="20"/>
          <w:szCs w:val="20"/>
        </w:rPr>
        <w:t xml:space="preserve">Clark, B. R. </w:t>
      </w:r>
      <w:r w:rsidRPr="00E63124">
        <w:rPr>
          <w:i/>
          <w:iCs/>
          <w:sz w:val="20"/>
          <w:szCs w:val="20"/>
        </w:rPr>
        <w:t>Creating entrepreneurial universities: Organizational pathways of transformation</w:t>
      </w:r>
      <w:r w:rsidR="00F573EE" w:rsidRPr="00E63124">
        <w:rPr>
          <w:i/>
          <w:iCs/>
          <w:sz w:val="20"/>
          <w:szCs w:val="20"/>
          <w:lang w:val="en-US"/>
        </w:rPr>
        <w:t xml:space="preserve"> </w:t>
      </w:r>
      <w:r w:rsidR="00F573EE" w:rsidRPr="00E63124">
        <w:rPr>
          <w:sz w:val="20"/>
          <w:szCs w:val="20"/>
          <w:lang w:val="en-US"/>
        </w:rPr>
        <w:t>(</w:t>
      </w:r>
      <w:r w:rsidR="00F573EE" w:rsidRPr="00E63124">
        <w:rPr>
          <w:rFonts w:cs="Times New Roman"/>
          <w:sz w:val="20"/>
          <w:szCs w:val="20"/>
        </w:rPr>
        <w:t>Xây dựng các trường đại học khởi nghiệp: Con đường tổ chức chuyển đổi</w:t>
      </w:r>
      <w:r w:rsidR="00F573EE" w:rsidRPr="00E63124">
        <w:rPr>
          <w:sz w:val="20"/>
          <w:szCs w:val="20"/>
          <w:lang w:val="en-US"/>
        </w:rPr>
        <w:t>)</w:t>
      </w:r>
      <w:r w:rsidRPr="00E63124">
        <w:rPr>
          <w:sz w:val="20"/>
          <w:szCs w:val="20"/>
        </w:rPr>
        <w:t>. Pergamon</w:t>
      </w:r>
      <w:r w:rsidR="00AA598F" w:rsidRPr="00E63124">
        <w:rPr>
          <w:sz w:val="20"/>
          <w:szCs w:val="20"/>
          <w:lang w:val="en-US"/>
        </w:rPr>
        <w:t xml:space="preserve">, </w:t>
      </w:r>
      <w:r w:rsidR="00AA598F" w:rsidRPr="00E63124">
        <w:rPr>
          <w:b/>
          <w:bCs/>
          <w:sz w:val="20"/>
          <w:szCs w:val="20"/>
          <w:lang w:val="en-US"/>
        </w:rPr>
        <w:t>1998</w:t>
      </w:r>
      <w:r w:rsidRPr="00E63124">
        <w:rPr>
          <w:sz w:val="20"/>
          <w:szCs w:val="20"/>
        </w:rPr>
        <w:t>.</w:t>
      </w:r>
    </w:p>
    <w:p w14:paraId="6F1FE044" w14:textId="634D8D03" w:rsidR="00497694" w:rsidRPr="00E63124" w:rsidRDefault="00497694" w:rsidP="00AA598F">
      <w:pPr>
        <w:pStyle w:val="ListParagraph"/>
        <w:numPr>
          <w:ilvl w:val="0"/>
          <w:numId w:val="3"/>
        </w:numPr>
        <w:spacing w:before="120" w:after="120" w:line="240" w:lineRule="auto"/>
        <w:jc w:val="both"/>
        <w:rPr>
          <w:sz w:val="20"/>
          <w:szCs w:val="20"/>
        </w:rPr>
      </w:pPr>
      <w:r w:rsidRPr="00E63124">
        <w:rPr>
          <w:sz w:val="20"/>
          <w:szCs w:val="20"/>
        </w:rPr>
        <w:t>Etzkowitz, H., &amp; Leydesdorff, L. The triple helix of university–industry–government relations</w:t>
      </w:r>
      <w:r w:rsidR="00F573EE" w:rsidRPr="00E63124">
        <w:rPr>
          <w:sz w:val="20"/>
          <w:szCs w:val="20"/>
          <w:lang w:val="en-US"/>
        </w:rPr>
        <w:t xml:space="preserve"> (</w:t>
      </w:r>
      <w:r w:rsidR="00171055" w:rsidRPr="00E63124">
        <w:rPr>
          <w:rFonts w:cs="Times New Roman"/>
          <w:sz w:val="20"/>
          <w:szCs w:val="20"/>
        </w:rPr>
        <w:t xml:space="preserve">Mô hình </w:t>
      </w:r>
      <w:r w:rsidR="00171055" w:rsidRPr="00E63124">
        <w:rPr>
          <w:rFonts w:cs="Times New Roman"/>
          <w:sz w:val="20"/>
          <w:szCs w:val="20"/>
          <w:lang w:val="en-US"/>
        </w:rPr>
        <w:t>“ba nhà”</w:t>
      </w:r>
      <w:r w:rsidR="00171055" w:rsidRPr="00E63124">
        <w:rPr>
          <w:rFonts w:cs="Times New Roman"/>
          <w:sz w:val="20"/>
          <w:szCs w:val="20"/>
        </w:rPr>
        <w:t xml:space="preserve"> trong quan hệ đại học–doanh nghiệp–chính phủ</w:t>
      </w:r>
      <w:r w:rsidR="00F573EE" w:rsidRPr="00E63124">
        <w:rPr>
          <w:sz w:val="20"/>
          <w:szCs w:val="20"/>
          <w:lang w:val="en-US"/>
        </w:rPr>
        <w:t>)</w:t>
      </w:r>
      <w:r w:rsidRPr="00E63124">
        <w:rPr>
          <w:sz w:val="20"/>
          <w:szCs w:val="20"/>
        </w:rPr>
        <w:t xml:space="preserve">. </w:t>
      </w:r>
      <w:r w:rsidRPr="00E63124">
        <w:rPr>
          <w:i/>
          <w:iCs/>
          <w:sz w:val="20"/>
          <w:szCs w:val="20"/>
        </w:rPr>
        <w:t>Research Policy, 29(2),</w:t>
      </w:r>
      <w:r w:rsidR="00AA598F" w:rsidRPr="00E63124">
        <w:rPr>
          <w:sz w:val="20"/>
          <w:szCs w:val="20"/>
          <w:lang w:val="en-US"/>
        </w:rPr>
        <w:t xml:space="preserve"> </w:t>
      </w:r>
      <w:r w:rsidR="00AA598F" w:rsidRPr="00E63124">
        <w:rPr>
          <w:b/>
          <w:bCs/>
          <w:sz w:val="20"/>
          <w:szCs w:val="20"/>
          <w:lang w:val="en-US"/>
        </w:rPr>
        <w:t>2000,</w:t>
      </w:r>
      <w:r w:rsidRPr="00E63124">
        <w:rPr>
          <w:sz w:val="20"/>
          <w:szCs w:val="20"/>
        </w:rPr>
        <w:t xml:space="preserve"> 109–123.</w:t>
      </w:r>
    </w:p>
    <w:p w14:paraId="34EB8DE9" w14:textId="393C4EB3" w:rsidR="00497694" w:rsidRPr="00E63124" w:rsidRDefault="00497694" w:rsidP="00AA598F">
      <w:pPr>
        <w:pStyle w:val="ListParagraph"/>
        <w:numPr>
          <w:ilvl w:val="0"/>
          <w:numId w:val="3"/>
        </w:numPr>
        <w:spacing w:before="120" w:after="120" w:line="240" w:lineRule="auto"/>
        <w:jc w:val="both"/>
        <w:rPr>
          <w:sz w:val="20"/>
          <w:szCs w:val="20"/>
        </w:rPr>
      </w:pPr>
      <w:r w:rsidRPr="00E63124">
        <w:rPr>
          <w:sz w:val="20"/>
          <w:szCs w:val="20"/>
        </w:rPr>
        <w:t>Mol, A. P. J. Wageningen University &amp; Research: Vision and strategy in a changing global context</w:t>
      </w:r>
      <w:r w:rsidR="00171055" w:rsidRPr="00E63124">
        <w:rPr>
          <w:sz w:val="20"/>
          <w:szCs w:val="20"/>
          <w:lang w:val="en-US"/>
        </w:rPr>
        <w:t xml:space="preserve"> (</w:t>
      </w:r>
      <w:r w:rsidR="00171055" w:rsidRPr="00E63124">
        <w:rPr>
          <w:rFonts w:cs="Times New Roman"/>
          <w:sz w:val="20"/>
          <w:szCs w:val="20"/>
        </w:rPr>
        <w:t>Đại học Nghiên cứu Wageningen: Tầm nhìn và chiến lược trong bối cảnh toàn cầu đang thay đổi</w:t>
      </w:r>
      <w:r w:rsidR="00171055" w:rsidRPr="00E63124">
        <w:rPr>
          <w:sz w:val="20"/>
          <w:szCs w:val="20"/>
          <w:lang w:val="en-US"/>
        </w:rPr>
        <w:t>)</w:t>
      </w:r>
      <w:r w:rsidRPr="00E63124">
        <w:rPr>
          <w:sz w:val="20"/>
          <w:szCs w:val="20"/>
        </w:rPr>
        <w:t>. W</w:t>
      </w:r>
      <w:r w:rsidR="00171055" w:rsidRPr="00E63124">
        <w:rPr>
          <w:sz w:val="20"/>
          <w:szCs w:val="20"/>
          <w:lang w:val="en-US"/>
        </w:rPr>
        <w:t>UR</w:t>
      </w:r>
      <w:r w:rsidR="00AA598F" w:rsidRPr="00E63124">
        <w:rPr>
          <w:sz w:val="20"/>
          <w:szCs w:val="20"/>
          <w:lang w:val="en-US"/>
        </w:rPr>
        <w:t xml:space="preserve">, </w:t>
      </w:r>
      <w:r w:rsidR="00AA598F" w:rsidRPr="00E63124">
        <w:rPr>
          <w:b/>
          <w:bCs/>
          <w:sz w:val="20"/>
          <w:szCs w:val="20"/>
          <w:lang w:val="en-US"/>
        </w:rPr>
        <w:t>2016</w:t>
      </w:r>
      <w:r w:rsidRPr="00E63124">
        <w:rPr>
          <w:sz w:val="20"/>
          <w:szCs w:val="20"/>
        </w:rPr>
        <w:t>.</w:t>
      </w:r>
    </w:p>
    <w:p w14:paraId="439BB0AF" w14:textId="045B095A" w:rsidR="00497694" w:rsidRPr="00E63124" w:rsidRDefault="00497694" w:rsidP="00AA598F">
      <w:pPr>
        <w:pStyle w:val="ListParagraph"/>
        <w:numPr>
          <w:ilvl w:val="0"/>
          <w:numId w:val="3"/>
        </w:numPr>
        <w:spacing w:before="120" w:after="120" w:line="240" w:lineRule="auto"/>
        <w:jc w:val="both"/>
        <w:rPr>
          <w:sz w:val="20"/>
          <w:szCs w:val="20"/>
        </w:rPr>
      </w:pPr>
      <w:r w:rsidRPr="00E63124">
        <w:rPr>
          <w:sz w:val="20"/>
          <w:szCs w:val="20"/>
        </w:rPr>
        <w:t>Oosterveer, P., &amp; Sonnenfeld, D. A. Food, globalisation and sustainability governance</w:t>
      </w:r>
      <w:r w:rsidR="00171055" w:rsidRPr="00E63124">
        <w:rPr>
          <w:sz w:val="20"/>
          <w:szCs w:val="20"/>
          <w:lang w:val="en-US"/>
        </w:rPr>
        <w:t xml:space="preserve"> (</w:t>
      </w:r>
      <w:r w:rsidR="00171055" w:rsidRPr="00E63124">
        <w:rPr>
          <w:rFonts w:cs="Times New Roman"/>
          <w:sz w:val="20"/>
          <w:szCs w:val="20"/>
        </w:rPr>
        <w:t>Thực phẩm, toàn cầu hóa và quản trị phát triển bền vững</w:t>
      </w:r>
      <w:r w:rsidR="00171055" w:rsidRPr="00E63124">
        <w:rPr>
          <w:sz w:val="20"/>
          <w:szCs w:val="20"/>
          <w:lang w:val="en-US"/>
        </w:rPr>
        <w:t>)</w:t>
      </w:r>
      <w:r w:rsidRPr="00E63124">
        <w:rPr>
          <w:sz w:val="20"/>
          <w:szCs w:val="20"/>
        </w:rPr>
        <w:t xml:space="preserve">. </w:t>
      </w:r>
      <w:r w:rsidRPr="00E63124">
        <w:rPr>
          <w:i/>
          <w:iCs/>
          <w:sz w:val="20"/>
          <w:szCs w:val="20"/>
        </w:rPr>
        <w:t>Environmental Politics, 21</w:t>
      </w:r>
      <w:r w:rsidR="00046995" w:rsidRPr="00E63124">
        <w:rPr>
          <w:i/>
          <w:iCs/>
          <w:sz w:val="20"/>
          <w:szCs w:val="20"/>
        </w:rPr>
        <w:t xml:space="preserve"> </w:t>
      </w:r>
      <w:r w:rsidRPr="00E63124">
        <w:rPr>
          <w:i/>
          <w:iCs/>
          <w:sz w:val="20"/>
          <w:szCs w:val="20"/>
        </w:rPr>
        <w:t>(1),</w:t>
      </w:r>
      <w:r w:rsidR="00AA598F" w:rsidRPr="00E63124">
        <w:rPr>
          <w:sz w:val="20"/>
          <w:szCs w:val="20"/>
          <w:lang w:val="en-US"/>
        </w:rPr>
        <w:t xml:space="preserve"> </w:t>
      </w:r>
      <w:r w:rsidR="00AA598F" w:rsidRPr="00E63124">
        <w:rPr>
          <w:b/>
          <w:bCs/>
          <w:sz w:val="20"/>
          <w:szCs w:val="20"/>
          <w:lang w:val="en-US"/>
        </w:rPr>
        <w:t>2012</w:t>
      </w:r>
      <w:r w:rsidR="00AA598F" w:rsidRPr="00E63124">
        <w:rPr>
          <w:sz w:val="20"/>
          <w:szCs w:val="20"/>
          <w:lang w:val="en-US"/>
        </w:rPr>
        <w:t>,</w:t>
      </w:r>
      <w:r w:rsidRPr="00E63124">
        <w:rPr>
          <w:sz w:val="20"/>
          <w:szCs w:val="20"/>
        </w:rPr>
        <w:t xml:space="preserve"> 1–19.</w:t>
      </w:r>
    </w:p>
    <w:p w14:paraId="0126ACA6" w14:textId="132A27D7" w:rsidR="00F573EE" w:rsidRPr="00E63124" w:rsidRDefault="00F573EE" w:rsidP="00F573EE">
      <w:pPr>
        <w:pStyle w:val="ListParagraph"/>
        <w:numPr>
          <w:ilvl w:val="0"/>
          <w:numId w:val="3"/>
        </w:numPr>
        <w:spacing w:before="120" w:after="120" w:line="240" w:lineRule="auto"/>
        <w:jc w:val="both"/>
        <w:rPr>
          <w:sz w:val="20"/>
          <w:szCs w:val="20"/>
        </w:rPr>
      </w:pPr>
      <w:r w:rsidRPr="00E63124">
        <w:rPr>
          <w:sz w:val="20"/>
          <w:szCs w:val="20"/>
        </w:rPr>
        <w:t xml:space="preserve">United Nations. </w:t>
      </w:r>
      <w:r w:rsidRPr="00E63124">
        <w:rPr>
          <w:i/>
          <w:iCs/>
          <w:sz w:val="20"/>
          <w:szCs w:val="20"/>
        </w:rPr>
        <w:t>Transforming our world: The 2030 agenda for sustainable development</w:t>
      </w:r>
      <w:r w:rsidR="00171055" w:rsidRPr="00E63124">
        <w:rPr>
          <w:i/>
          <w:iCs/>
          <w:sz w:val="20"/>
          <w:szCs w:val="20"/>
          <w:lang w:val="en-US"/>
        </w:rPr>
        <w:t xml:space="preserve"> </w:t>
      </w:r>
      <w:r w:rsidR="00171055" w:rsidRPr="00E63124">
        <w:rPr>
          <w:sz w:val="20"/>
          <w:szCs w:val="20"/>
          <w:lang w:val="en-US"/>
        </w:rPr>
        <w:t>(</w:t>
      </w:r>
      <w:r w:rsidR="00171055" w:rsidRPr="00E63124">
        <w:rPr>
          <w:rFonts w:cs="Times New Roman"/>
          <w:sz w:val="20"/>
          <w:szCs w:val="20"/>
        </w:rPr>
        <w:t>Chuyển đổi thế giới của chúng ta: Chương trình nghị sự 2030 vì sự phát triển bền vững</w:t>
      </w:r>
      <w:r w:rsidR="00171055" w:rsidRPr="00E63124">
        <w:rPr>
          <w:sz w:val="20"/>
          <w:szCs w:val="20"/>
          <w:lang w:val="en-US"/>
        </w:rPr>
        <w:t>)</w:t>
      </w:r>
      <w:r w:rsidRPr="00E63124">
        <w:rPr>
          <w:i/>
          <w:iCs/>
          <w:sz w:val="20"/>
          <w:szCs w:val="20"/>
        </w:rPr>
        <w:t>.</w:t>
      </w:r>
      <w:r w:rsidRPr="00E63124">
        <w:rPr>
          <w:sz w:val="20"/>
          <w:szCs w:val="20"/>
        </w:rPr>
        <w:t xml:space="preserve"> United Nations</w:t>
      </w:r>
      <w:r w:rsidRPr="00E63124">
        <w:rPr>
          <w:sz w:val="20"/>
          <w:szCs w:val="20"/>
          <w:lang w:val="en-US"/>
        </w:rPr>
        <w:t xml:space="preserve">, </w:t>
      </w:r>
      <w:r w:rsidRPr="00E63124">
        <w:rPr>
          <w:b/>
          <w:bCs/>
          <w:sz w:val="20"/>
          <w:szCs w:val="20"/>
          <w:lang w:val="en-US"/>
        </w:rPr>
        <w:t>2015</w:t>
      </w:r>
      <w:r w:rsidRPr="00E63124">
        <w:rPr>
          <w:sz w:val="20"/>
          <w:szCs w:val="20"/>
        </w:rPr>
        <w:t>.</w:t>
      </w:r>
    </w:p>
    <w:p w14:paraId="410F3578" w14:textId="1E68382F" w:rsidR="00046995" w:rsidRPr="00E63124" w:rsidRDefault="00046995" w:rsidP="00AA598F">
      <w:pPr>
        <w:pStyle w:val="ListParagraph"/>
        <w:numPr>
          <w:ilvl w:val="0"/>
          <w:numId w:val="3"/>
        </w:numPr>
        <w:spacing w:before="120" w:after="120" w:line="240" w:lineRule="auto"/>
        <w:jc w:val="both"/>
        <w:rPr>
          <w:sz w:val="20"/>
          <w:szCs w:val="20"/>
        </w:rPr>
      </w:pPr>
      <w:r w:rsidRPr="00E63124">
        <w:rPr>
          <w:sz w:val="20"/>
          <w:szCs w:val="20"/>
        </w:rPr>
        <w:t>WUR (2017). Vision for education: Wageningen University and Research, the next step</w:t>
      </w:r>
      <w:r w:rsidR="00171055" w:rsidRPr="00E63124">
        <w:rPr>
          <w:sz w:val="20"/>
          <w:szCs w:val="20"/>
          <w:lang w:val="en-US"/>
        </w:rPr>
        <w:t xml:space="preserve"> (</w:t>
      </w:r>
      <w:r w:rsidR="00171055" w:rsidRPr="00E63124">
        <w:rPr>
          <w:rFonts w:cs="Times New Roman"/>
          <w:sz w:val="20"/>
          <w:szCs w:val="20"/>
        </w:rPr>
        <w:t>Tầm nhìn về giáo dục: Đại học và Nghiên cứu Wageningen – Bước đi tiếp theo</w:t>
      </w:r>
      <w:r w:rsidR="00171055" w:rsidRPr="00E63124">
        <w:rPr>
          <w:sz w:val="20"/>
          <w:szCs w:val="20"/>
          <w:lang w:val="en-US"/>
        </w:rPr>
        <w:t>)</w:t>
      </w:r>
      <w:r w:rsidR="00AA598F" w:rsidRPr="00E63124">
        <w:rPr>
          <w:sz w:val="20"/>
          <w:szCs w:val="20"/>
          <w:lang w:val="en-US"/>
        </w:rPr>
        <w:t xml:space="preserve">. WUR, </w:t>
      </w:r>
      <w:r w:rsidR="00AA598F" w:rsidRPr="00E63124">
        <w:rPr>
          <w:b/>
          <w:bCs/>
          <w:sz w:val="20"/>
          <w:szCs w:val="20"/>
          <w:lang w:val="en-US"/>
        </w:rPr>
        <w:t>2017</w:t>
      </w:r>
      <w:r w:rsidR="00AA598F" w:rsidRPr="00E63124">
        <w:rPr>
          <w:sz w:val="20"/>
          <w:szCs w:val="20"/>
          <w:lang w:val="en-US"/>
        </w:rPr>
        <w:t>.</w:t>
      </w:r>
    </w:p>
    <w:p w14:paraId="31841428" w14:textId="769799F0" w:rsidR="00B417DD"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00B417DD" w:rsidRPr="00E63124">
        <w:rPr>
          <w:sz w:val="20"/>
          <w:szCs w:val="20"/>
        </w:rPr>
        <w:t xml:space="preserve">. </w:t>
      </w:r>
      <w:r w:rsidR="00B417DD" w:rsidRPr="00E63124">
        <w:rPr>
          <w:i/>
          <w:iCs/>
          <w:sz w:val="20"/>
          <w:szCs w:val="20"/>
        </w:rPr>
        <w:t>Annual report 2019</w:t>
      </w:r>
      <w:r w:rsidR="00171055" w:rsidRPr="00E63124">
        <w:rPr>
          <w:i/>
          <w:iCs/>
          <w:sz w:val="20"/>
          <w:szCs w:val="20"/>
          <w:lang w:val="en-US"/>
        </w:rPr>
        <w:t xml:space="preserve"> </w:t>
      </w:r>
      <w:r w:rsidR="00171055" w:rsidRPr="00E63124">
        <w:rPr>
          <w:sz w:val="20"/>
          <w:szCs w:val="20"/>
          <w:lang w:val="en-US"/>
        </w:rPr>
        <w:t>(</w:t>
      </w:r>
      <w:r w:rsidR="00171055" w:rsidRPr="00E63124">
        <w:rPr>
          <w:rFonts w:cs="Times New Roman"/>
          <w:sz w:val="20"/>
          <w:szCs w:val="20"/>
        </w:rPr>
        <w:t>Báo cáo thường niên 2019</w:t>
      </w:r>
      <w:r w:rsidR="00171055" w:rsidRPr="00E63124">
        <w:rPr>
          <w:sz w:val="20"/>
          <w:szCs w:val="20"/>
          <w:lang w:val="en-US"/>
        </w:rPr>
        <w:t>)</w:t>
      </w:r>
      <w:r w:rsidR="00B417DD" w:rsidRPr="00E63124">
        <w:rPr>
          <w:i/>
          <w:iCs/>
          <w:sz w:val="20"/>
          <w:szCs w:val="20"/>
        </w:rPr>
        <w:t>.</w:t>
      </w:r>
      <w:r w:rsidR="00B417DD" w:rsidRPr="00E63124">
        <w:rPr>
          <w:sz w:val="20"/>
          <w:szCs w:val="20"/>
        </w:rPr>
        <w:t xml:space="preserve"> </w:t>
      </w:r>
      <w:r w:rsidR="006F21D6" w:rsidRPr="00E63124">
        <w:rPr>
          <w:sz w:val="20"/>
          <w:szCs w:val="20"/>
        </w:rPr>
        <w:t>WUR.</w:t>
      </w:r>
      <w:r w:rsidRPr="00E63124">
        <w:rPr>
          <w:sz w:val="20"/>
          <w:szCs w:val="20"/>
          <w:lang w:val="en-US"/>
        </w:rPr>
        <w:t xml:space="preserve"> 2019a.</w:t>
      </w:r>
    </w:p>
    <w:p w14:paraId="1FB3D38F" w14:textId="73DEC752" w:rsidR="00B417DD"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00B417DD" w:rsidRPr="00E63124">
        <w:rPr>
          <w:sz w:val="20"/>
          <w:szCs w:val="20"/>
        </w:rPr>
        <w:t xml:space="preserve">. </w:t>
      </w:r>
      <w:r w:rsidR="00B417DD" w:rsidRPr="00E63124">
        <w:rPr>
          <w:i/>
          <w:iCs/>
          <w:sz w:val="20"/>
          <w:szCs w:val="20"/>
        </w:rPr>
        <w:t>Strategic plan 2019–2022: Finding answers together</w:t>
      </w:r>
      <w:r w:rsidR="00171055" w:rsidRPr="00E63124">
        <w:rPr>
          <w:sz w:val="20"/>
          <w:szCs w:val="20"/>
          <w:lang w:val="en-US"/>
        </w:rPr>
        <w:t xml:space="preserve"> (</w:t>
      </w:r>
      <w:r w:rsidR="00171055" w:rsidRPr="00E63124">
        <w:rPr>
          <w:rFonts w:cs="Times New Roman"/>
          <w:sz w:val="20"/>
          <w:szCs w:val="20"/>
        </w:rPr>
        <w:t>Kế hoạch chiến lược 2019–2022: Cùng nhau tìm câu trả lời</w:t>
      </w:r>
      <w:r w:rsidR="00171055" w:rsidRPr="00E63124">
        <w:rPr>
          <w:sz w:val="20"/>
          <w:szCs w:val="20"/>
          <w:lang w:val="en-US"/>
        </w:rPr>
        <w:t>)</w:t>
      </w:r>
      <w:r w:rsidR="00B417DD" w:rsidRPr="00E63124">
        <w:rPr>
          <w:sz w:val="20"/>
          <w:szCs w:val="20"/>
        </w:rPr>
        <w:t xml:space="preserve">. </w:t>
      </w:r>
      <w:r w:rsidR="006F21D6" w:rsidRPr="00E63124">
        <w:rPr>
          <w:sz w:val="20"/>
          <w:szCs w:val="20"/>
        </w:rPr>
        <w:t>WUR</w:t>
      </w:r>
      <w:r w:rsidRPr="00E63124">
        <w:rPr>
          <w:sz w:val="20"/>
          <w:szCs w:val="20"/>
          <w:lang w:val="en-US"/>
        </w:rPr>
        <w:t xml:space="preserve">, </w:t>
      </w:r>
      <w:r w:rsidRPr="00E63124">
        <w:rPr>
          <w:b/>
          <w:bCs/>
          <w:sz w:val="20"/>
          <w:szCs w:val="20"/>
          <w:lang w:val="en-US"/>
        </w:rPr>
        <w:t>2019</w:t>
      </w:r>
      <w:r w:rsidRPr="00E63124">
        <w:rPr>
          <w:sz w:val="20"/>
          <w:szCs w:val="20"/>
          <w:lang w:val="en-US"/>
        </w:rPr>
        <w:t>b.</w:t>
      </w:r>
    </w:p>
    <w:p w14:paraId="2A6D5FE4" w14:textId="19763B0A" w:rsidR="00B417DD"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00B417DD" w:rsidRPr="00E63124">
        <w:rPr>
          <w:sz w:val="20"/>
          <w:szCs w:val="20"/>
        </w:rPr>
        <w:t xml:space="preserve">. </w:t>
      </w:r>
      <w:r w:rsidR="00B417DD" w:rsidRPr="00E63124">
        <w:rPr>
          <w:i/>
          <w:iCs/>
          <w:sz w:val="20"/>
          <w:szCs w:val="20"/>
        </w:rPr>
        <w:t>Digital transformation and data-driven research at WUR</w:t>
      </w:r>
      <w:r w:rsidR="00171055" w:rsidRPr="00E63124">
        <w:rPr>
          <w:sz w:val="20"/>
          <w:szCs w:val="20"/>
          <w:lang w:val="en-US"/>
        </w:rPr>
        <w:t xml:space="preserve"> (</w:t>
      </w:r>
      <w:r w:rsidR="00171055" w:rsidRPr="00E63124">
        <w:rPr>
          <w:rFonts w:cs="Times New Roman"/>
          <w:sz w:val="20"/>
          <w:szCs w:val="20"/>
        </w:rPr>
        <w:t>Chuyển đổi số và nghiên cứu dựa trên dữ liệu tại WUR</w:t>
      </w:r>
      <w:r w:rsidR="00171055" w:rsidRPr="00E63124">
        <w:rPr>
          <w:sz w:val="20"/>
          <w:szCs w:val="20"/>
          <w:lang w:val="en-US"/>
        </w:rPr>
        <w:t>)</w:t>
      </w:r>
      <w:r w:rsidR="00B417DD" w:rsidRPr="00E63124">
        <w:rPr>
          <w:sz w:val="20"/>
          <w:szCs w:val="20"/>
        </w:rPr>
        <w:t>.</w:t>
      </w:r>
      <w:r w:rsidR="006F21D6" w:rsidRPr="00E63124">
        <w:rPr>
          <w:sz w:val="20"/>
          <w:szCs w:val="20"/>
        </w:rPr>
        <w:t xml:space="preserve"> WUR</w:t>
      </w:r>
      <w:r w:rsidRPr="00E63124">
        <w:rPr>
          <w:sz w:val="20"/>
          <w:szCs w:val="20"/>
          <w:lang w:val="en-US"/>
        </w:rPr>
        <w:t xml:space="preserve">, </w:t>
      </w:r>
      <w:r w:rsidRPr="00E63124">
        <w:rPr>
          <w:b/>
          <w:bCs/>
          <w:sz w:val="20"/>
          <w:szCs w:val="20"/>
          <w:lang w:val="en-US"/>
        </w:rPr>
        <w:t>2021</w:t>
      </w:r>
      <w:r w:rsidR="006F21D6" w:rsidRPr="00E63124">
        <w:rPr>
          <w:sz w:val="20"/>
          <w:szCs w:val="20"/>
        </w:rPr>
        <w:t>.</w:t>
      </w:r>
    </w:p>
    <w:p w14:paraId="1738CA32" w14:textId="57F53EC5" w:rsidR="00B417DD"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Pr="00E63124">
        <w:rPr>
          <w:sz w:val="20"/>
          <w:szCs w:val="20"/>
          <w:lang w:val="en-US"/>
        </w:rPr>
        <w:t>.</w:t>
      </w:r>
      <w:r w:rsidR="00B417DD" w:rsidRPr="00E63124">
        <w:rPr>
          <w:sz w:val="20"/>
          <w:szCs w:val="20"/>
        </w:rPr>
        <w:t xml:space="preserve"> </w:t>
      </w:r>
      <w:r w:rsidR="00B417DD" w:rsidRPr="00E63124">
        <w:rPr>
          <w:i/>
          <w:iCs/>
          <w:sz w:val="20"/>
          <w:szCs w:val="20"/>
        </w:rPr>
        <w:t>WUR and the Sustainable Development Goals (SDGs)</w:t>
      </w:r>
      <w:r w:rsidR="00171055" w:rsidRPr="00E63124">
        <w:rPr>
          <w:sz w:val="20"/>
          <w:szCs w:val="20"/>
          <w:lang w:val="en-US"/>
        </w:rPr>
        <w:t xml:space="preserve"> (</w:t>
      </w:r>
      <w:r w:rsidR="00171055" w:rsidRPr="00E63124">
        <w:rPr>
          <w:rFonts w:cs="Times New Roman"/>
          <w:sz w:val="20"/>
          <w:szCs w:val="20"/>
        </w:rPr>
        <w:t>WUR và các Mục tiêu Phát triển Bền vững (SDGs)</w:t>
      </w:r>
      <w:r w:rsidR="00171055" w:rsidRPr="00E63124">
        <w:rPr>
          <w:sz w:val="20"/>
          <w:szCs w:val="20"/>
          <w:lang w:val="en-US"/>
        </w:rPr>
        <w:t>)</w:t>
      </w:r>
      <w:r w:rsidR="00B417DD" w:rsidRPr="00E63124">
        <w:rPr>
          <w:sz w:val="20"/>
          <w:szCs w:val="20"/>
        </w:rPr>
        <w:t>.</w:t>
      </w:r>
      <w:r w:rsidR="006F21D6" w:rsidRPr="00E63124">
        <w:rPr>
          <w:sz w:val="20"/>
          <w:szCs w:val="20"/>
        </w:rPr>
        <w:t xml:space="preserve"> WUR</w:t>
      </w:r>
      <w:r w:rsidRPr="00E63124">
        <w:rPr>
          <w:sz w:val="20"/>
          <w:szCs w:val="20"/>
          <w:lang w:val="en-US"/>
        </w:rPr>
        <w:t xml:space="preserve">, </w:t>
      </w:r>
      <w:r w:rsidRPr="00E63124">
        <w:rPr>
          <w:b/>
          <w:bCs/>
          <w:sz w:val="20"/>
          <w:szCs w:val="20"/>
          <w:lang w:val="en-US"/>
        </w:rPr>
        <w:t>2022</w:t>
      </w:r>
      <w:r w:rsidR="006F21D6" w:rsidRPr="00E63124">
        <w:rPr>
          <w:sz w:val="20"/>
          <w:szCs w:val="20"/>
        </w:rPr>
        <w:t>.</w:t>
      </w:r>
    </w:p>
    <w:p w14:paraId="65185CFB" w14:textId="59A3E9C4" w:rsidR="00B417DD"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00B417DD" w:rsidRPr="00E63124">
        <w:rPr>
          <w:sz w:val="20"/>
          <w:szCs w:val="20"/>
        </w:rPr>
        <w:t xml:space="preserve">. </w:t>
      </w:r>
      <w:r w:rsidR="00B417DD" w:rsidRPr="00E63124">
        <w:rPr>
          <w:i/>
          <w:iCs/>
          <w:sz w:val="20"/>
          <w:szCs w:val="20"/>
        </w:rPr>
        <w:t>Chair groups and research governance structure</w:t>
      </w:r>
      <w:r w:rsidR="00171055" w:rsidRPr="00E63124">
        <w:rPr>
          <w:sz w:val="20"/>
          <w:szCs w:val="20"/>
          <w:lang w:val="en-US"/>
        </w:rPr>
        <w:t xml:space="preserve"> (</w:t>
      </w:r>
      <w:r w:rsidR="00171055" w:rsidRPr="00E63124">
        <w:rPr>
          <w:rFonts w:cs="Times New Roman"/>
          <w:sz w:val="20"/>
          <w:szCs w:val="20"/>
        </w:rPr>
        <w:t xml:space="preserve">Các nhóm </w:t>
      </w:r>
      <w:r w:rsidR="00171055" w:rsidRPr="00E63124">
        <w:rPr>
          <w:rFonts w:cs="Times New Roman"/>
          <w:sz w:val="20"/>
          <w:szCs w:val="20"/>
          <w:lang w:val="en-US"/>
        </w:rPr>
        <w:t>“nghiên cứu mạnh”</w:t>
      </w:r>
      <w:r w:rsidR="00171055" w:rsidRPr="00E63124">
        <w:rPr>
          <w:rFonts w:cs="Times New Roman"/>
          <w:sz w:val="20"/>
          <w:szCs w:val="20"/>
        </w:rPr>
        <w:t xml:space="preserve"> và cơ cấu quản trị nghiên cứu</w:t>
      </w:r>
      <w:r w:rsidR="00171055" w:rsidRPr="00E63124">
        <w:rPr>
          <w:sz w:val="20"/>
          <w:szCs w:val="20"/>
          <w:lang w:val="en-US"/>
        </w:rPr>
        <w:t>)</w:t>
      </w:r>
      <w:r w:rsidR="00B417DD" w:rsidRPr="00E63124">
        <w:rPr>
          <w:sz w:val="20"/>
          <w:szCs w:val="20"/>
        </w:rPr>
        <w:t>.</w:t>
      </w:r>
      <w:r w:rsidR="006F21D6" w:rsidRPr="00E63124">
        <w:rPr>
          <w:sz w:val="20"/>
          <w:szCs w:val="20"/>
        </w:rPr>
        <w:t xml:space="preserve"> WUR</w:t>
      </w:r>
      <w:r w:rsidRPr="00E63124">
        <w:rPr>
          <w:sz w:val="20"/>
          <w:szCs w:val="20"/>
          <w:lang w:val="en-US"/>
        </w:rPr>
        <w:t xml:space="preserve">, </w:t>
      </w:r>
      <w:r w:rsidRPr="00E63124">
        <w:rPr>
          <w:b/>
          <w:bCs/>
          <w:sz w:val="20"/>
          <w:szCs w:val="20"/>
          <w:lang w:val="en-US"/>
        </w:rPr>
        <w:t>2023</w:t>
      </w:r>
      <w:r w:rsidRPr="00E63124">
        <w:rPr>
          <w:sz w:val="20"/>
          <w:szCs w:val="20"/>
          <w:lang w:val="en-US"/>
        </w:rPr>
        <w:t>a</w:t>
      </w:r>
      <w:r w:rsidR="006F21D6" w:rsidRPr="00E63124">
        <w:rPr>
          <w:sz w:val="20"/>
          <w:szCs w:val="20"/>
        </w:rPr>
        <w:t>.</w:t>
      </w:r>
    </w:p>
    <w:p w14:paraId="248CD4DF" w14:textId="004BDBA6" w:rsidR="00B417DD"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00B417DD" w:rsidRPr="00E63124">
        <w:rPr>
          <w:sz w:val="20"/>
          <w:szCs w:val="20"/>
        </w:rPr>
        <w:t xml:space="preserve">. </w:t>
      </w:r>
      <w:r w:rsidR="00B417DD" w:rsidRPr="00E63124">
        <w:rPr>
          <w:i/>
          <w:iCs/>
          <w:sz w:val="20"/>
          <w:szCs w:val="20"/>
        </w:rPr>
        <w:t>Innovation &amp; entrepreneurship at WUR</w:t>
      </w:r>
      <w:r w:rsidR="00171055" w:rsidRPr="00E63124">
        <w:rPr>
          <w:sz w:val="20"/>
          <w:szCs w:val="20"/>
          <w:lang w:val="en-US"/>
        </w:rPr>
        <w:t xml:space="preserve"> (</w:t>
      </w:r>
      <w:r w:rsidR="00171055" w:rsidRPr="00E63124">
        <w:rPr>
          <w:rFonts w:cs="Times New Roman"/>
          <w:sz w:val="20"/>
          <w:szCs w:val="20"/>
        </w:rPr>
        <w:t>Đổi mới sáng tạo và khởi nghiệp tại WUR</w:t>
      </w:r>
      <w:r w:rsidR="00171055" w:rsidRPr="00E63124">
        <w:rPr>
          <w:sz w:val="20"/>
          <w:szCs w:val="20"/>
          <w:lang w:val="en-US"/>
        </w:rPr>
        <w:t>)</w:t>
      </w:r>
      <w:r w:rsidR="00B417DD" w:rsidRPr="00E63124">
        <w:rPr>
          <w:sz w:val="20"/>
          <w:szCs w:val="20"/>
        </w:rPr>
        <w:t>.</w:t>
      </w:r>
      <w:r w:rsidR="006F21D6" w:rsidRPr="00E63124">
        <w:rPr>
          <w:sz w:val="20"/>
          <w:szCs w:val="20"/>
        </w:rPr>
        <w:t xml:space="preserve"> WUR</w:t>
      </w:r>
      <w:r w:rsidRPr="00E63124">
        <w:rPr>
          <w:sz w:val="20"/>
          <w:szCs w:val="20"/>
          <w:lang w:val="en-US"/>
        </w:rPr>
        <w:t xml:space="preserve">, </w:t>
      </w:r>
      <w:r w:rsidRPr="00E63124">
        <w:rPr>
          <w:b/>
          <w:bCs/>
          <w:sz w:val="20"/>
          <w:szCs w:val="20"/>
          <w:lang w:val="en-US"/>
        </w:rPr>
        <w:t>2023</w:t>
      </w:r>
      <w:r w:rsidRPr="00E63124">
        <w:rPr>
          <w:sz w:val="20"/>
          <w:szCs w:val="20"/>
          <w:lang w:val="en-US"/>
        </w:rPr>
        <w:t>b</w:t>
      </w:r>
      <w:r w:rsidR="006F21D6" w:rsidRPr="00E63124">
        <w:rPr>
          <w:sz w:val="20"/>
          <w:szCs w:val="20"/>
        </w:rPr>
        <w:t>.</w:t>
      </w:r>
      <w:r w:rsidR="00B417DD" w:rsidRPr="00E63124">
        <w:rPr>
          <w:sz w:val="20"/>
          <w:szCs w:val="20"/>
        </w:rPr>
        <w:t xml:space="preserve"> </w:t>
      </w:r>
    </w:p>
    <w:p w14:paraId="2D707E24" w14:textId="0F791089" w:rsidR="00B417DD"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00B417DD" w:rsidRPr="00E63124">
        <w:rPr>
          <w:sz w:val="20"/>
          <w:szCs w:val="20"/>
        </w:rPr>
        <w:t xml:space="preserve">. </w:t>
      </w:r>
      <w:r w:rsidR="00B417DD" w:rsidRPr="00E63124">
        <w:rPr>
          <w:i/>
          <w:iCs/>
          <w:sz w:val="20"/>
          <w:szCs w:val="20"/>
        </w:rPr>
        <w:t>Sustainability report 2022</w:t>
      </w:r>
      <w:r w:rsidR="00171055" w:rsidRPr="00E63124">
        <w:rPr>
          <w:sz w:val="20"/>
          <w:szCs w:val="20"/>
          <w:lang w:val="en-US"/>
        </w:rPr>
        <w:t xml:space="preserve"> (</w:t>
      </w:r>
      <w:r w:rsidR="00171055" w:rsidRPr="00E63124">
        <w:rPr>
          <w:rFonts w:cs="Times New Roman"/>
          <w:i/>
          <w:iCs/>
          <w:sz w:val="20"/>
          <w:szCs w:val="20"/>
        </w:rPr>
        <w:t>Báo cáo phát triển bền vững 2022</w:t>
      </w:r>
      <w:r w:rsidR="00171055" w:rsidRPr="00E63124">
        <w:rPr>
          <w:sz w:val="20"/>
          <w:szCs w:val="20"/>
          <w:lang w:val="en-US"/>
        </w:rPr>
        <w:t>)</w:t>
      </w:r>
      <w:r w:rsidR="00B417DD" w:rsidRPr="00E63124">
        <w:rPr>
          <w:sz w:val="20"/>
          <w:szCs w:val="20"/>
        </w:rPr>
        <w:t>.</w:t>
      </w:r>
      <w:r w:rsidR="006F21D6" w:rsidRPr="00E63124">
        <w:rPr>
          <w:sz w:val="20"/>
          <w:szCs w:val="20"/>
        </w:rPr>
        <w:t xml:space="preserve"> WUR</w:t>
      </w:r>
      <w:r w:rsidRPr="00E63124">
        <w:rPr>
          <w:sz w:val="20"/>
          <w:szCs w:val="20"/>
          <w:lang w:val="en-US"/>
        </w:rPr>
        <w:t xml:space="preserve">, </w:t>
      </w:r>
      <w:r w:rsidRPr="00E63124">
        <w:rPr>
          <w:b/>
          <w:bCs/>
          <w:sz w:val="20"/>
          <w:szCs w:val="20"/>
          <w:lang w:val="en-US"/>
        </w:rPr>
        <w:t>2023</w:t>
      </w:r>
      <w:r w:rsidRPr="00E63124">
        <w:rPr>
          <w:sz w:val="20"/>
          <w:szCs w:val="20"/>
          <w:lang w:val="en-US"/>
        </w:rPr>
        <w:t>c</w:t>
      </w:r>
      <w:r w:rsidR="006F21D6" w:rsidRPr="00E63124">
        <w:rPr>
          <w:sz w:val="20"/>
          <w:szCs w:val="20"/>
        </w:rPr>
        <w:t>.</w:t>
      </w:r>
    </w:p>
    <w:p w14:paraId="5A7A88E8" w14:textId="793621CE" w:rsidR="00046995"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00046995" w:rsidRPr="00E63124">
        <w:rPr>
          <w:sz w:val="20"/>
          <w:szCs w:val="20"/>
        </w:rPr>
        <w:t xml:space="preserve">. </w:t>
      </w:r>
      <w:r w:rsidR="00046995" w:rsidRPr="00E63124">
        <w:rPr>
          <w:i/>
          <w:iCs/>
          <w:sz w:val="20"/>
          <w:szCs w:val="20"/>
        </w:rPr>
        <w:t>Wageningen impact and startup ecosystem report</w:t>
      </w:r>
      <w:r w:rsidR="00171055" w:rsidRPr="00E63124">
        <w:rPr>
          <w:sz w:val="20"/>
          <w:szCs w:val="20"/>
          <w:lang w:val="en-US"/>
        </w:rPr>
        <w:t xml:space="preserve"> (</w:t>
      </w:r>
      <w:r w:rsidR="00171055" w:rsidRPr="00E63124">
        <w:rPr>
          <w:rFonts w:cs="Times New Roman"/>
          <w:sz w:val="20"/>
          <w:szCs w:val="20"/>
        </w:rPr>
        <w:t>Báo cáo tác động Wageningen và hệ sinh thái khởi nghiệp</w:t>
      </w:r>
      <w:r w:rsidR="00171055" w:rsidRPr="00E63124">
        <w:rPr>
          <w:sz w:val="20"/>
          <w:szCs w:val="20"/>
          <w:lang w:val="en-US"/>
        </w:rPr>
        <w:t>)</w:t>
      </w:r>
      <w:r w:rsidR="00046995" w:rsidRPr="00E63124">
        <w:rPr>
          <w:sz w:val="20"/>
          <w:szCs w:val="20"/>
        </w:rPr>
        <w:t>. WUR</w:t>
      </w:r>
      <w:r w:rsidRPr="00E63124">
        <w:rPr>
          <w:sz w:val="20"/>
          <w:szCs w:val="20"/>
          <w:lang w:val="en-US"/>
        </w:rPr>
        <w:t xml:space="preserve">, </w:t>
      </w:r>
      <w:r w:rsidRPr="00E63124">
        <w:rPr>
          <w:b/>
          <w:bCs/>
          <w:sz w:val="20"/>
          <w:szCs w:val="20"/>
          <w:lang w:val="en-US"/>
        </w:rPr>
        <w:t>2023</w:t>
      </w:r>
      <w:r w:rsidRPr="00E63124">
        <w:rPr>
          <w:sz w:val="20"/>
          <w:szCs w:val="20"/>
          <w:lang w:val="en-US"/>
        </w:rPr>
        <w:t>e</w:t>
      </w:r>
      <w:r w:rsidR="00046995" w:rsidRPr="00E63124">
        <w:rPr>
          <w:sz w:val="20"/>
          <w:szCs w:val="20"/>
        </w:rPr>
        <w:t>.</w:t>
      </w:r>
    </w:p>
    <w:p w14:paraId="29E32179" w14:textId="192D78BA" w:rsidR="00046995"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lastRenderedPageBreak/>
        <w:t>WUR</w:t>
      </w:r>
      <w:r w:rsidR="00046995" w:rsidRPr="00E63124">
        <w:rPr>
          <w:sz w:val="20"/>
          <w:szCs w:val="20"/>
        </w:rPr>
        <w:t xml:space="preserve">. </w:t>
      </w:r>
      <w:r w:rsidR="00046995" w:rsidRPr="00E63124">
        <w:rPr>
          <w:i/>
          <w:iCs/>
          <w:sz w:val="20"/>
          <w:szCs w:val="20"/>
        </w:rPr>
        <w:t>Responsible change makers for science and society: Vision for education 2025</w:t>
      </w:r>
      <w:r w:rsidR="00171055" w:rsidRPr="00E63124">
        <w:rPr>
          <w:sz w:val="20"/>
          <w:szCs w:val="20"/>
          <w:lang w:val="en-US"/>
        </w:rPr>
        <w:t xml:space="preserve"> (</w:t>
      </w:r>
      <w:r w:rsidR="00171055" w:rsidRPr="00E63124">
        <w:rPr>
          <w:rFonts w:cs="Times New Roman"/>
          <w:sz w:val="20"/>
          <w:szCs w:val="20"/>
        </w:rPr>
        <w:t>Những tác nhân thay đổi có trách nhiệm vì khoa học và xã hội: Tầm nhìn giáo dục 2025</w:t>
      </w:r>
      <w:r w:rsidR="00171055" w:rsidRPr="00E63124">
        <w:rPr>
          <w:sz w:val="20"/>
          <w:szCs w:val="20"/>
          <w:lang w:val="en-US"/>
        </w:rPr>
        <w:t>)</w:t>
      </w:r>
      <w:r w:rsidR="00046995" w:rsidRPr="00E63124">
        <w:rPr>
          <w:sz w:val="20"/>
          <w:szCs w:val="20"/>
        </w:rPr>
        <w:t>. WUR</w:t>
      </w:r>
      <w:r w:rsidRPr="00E63124">
        <w:rPr>
          <w:sz w:val="20"/>
          <w:szCs w:val="20"/>
          <w:lang w:val="en-US"/>
        </w:rPr>
        <w:t>, 2025a</w:t>
      </w:r>
      <w:r w:rsidR="00046995" w:rsidRPr="00E63124">
        <w:rPr>
          <w:sz w:val="20"/>
          <w:szCs w:val="20"/>
        </w:rPr>
        <w:t>.</w:t>
      </w:r>
    </w:p>
    <w:p w14:paraId="414985E1" w14:textId="6144BEDF" w:rsidR="00046995" w:rsidRPr="00E63124" w:rsidRDefault="00F573EE" w:rsidP="00AA598F">
      <w:pPr>
        <w:pStyle w:val="ListParagraph"/>
        <w:numPr>
          <w:ilvl w:val="0"/>
          <w:numId w:val="3"/>
        </w:numPr>
        <w:spacing w:before="120" w:after="120" w:line="240" w:lineRule="auto"/>
        <w:jc w:val="both"/>
        <w:rPr>
          <w:sz w:val="20"/>
          <w:szCs w:val="20"/>
        </w:rPr>
      </w:pPr>
      <w:r w:rsidRPr="00E63124">
        <w:rPr>
          <w:sz w:val="20"/>
          <w:szCs w:val="20"/>
        </w:rPr>
        <w:t>WUR</w:t>
      </w:r>
      <w:r w:rsidR="00046995" w:rsidRPr="00E63124">
        <w:rPr>
          <w:sz w:val="20"/>
          <w:szCs w:val="20"/>
        </w:rPr>
        <w:t xml:space="preserve">. </w:t>
      </w:r>
      <w:r w:rsidR="00046995" w:rsidRPr="00E63124">
        <w:rPr>
          <w:i/>
          <w:iCs/>
          <w:sz w:val="20"/>
          <w:szCs w:val="20"/>
        </w:rPr>
        <w:t>Shape responsible change: Strategic plan 2025–2028</w:t>
      </w:r>
      <w:r w:rsidR="00171055" w:rsidRPr="00E63124">
        <w:rPr>
          <w:sz w:val="20"/>
          <w:szCs w:val="20"/>
          <w:lang w:val="en-US"/>
        </w:rPr>
        <w:t xml:space="preserve"> (</w:t>
      </w:r>
      <w:r w:rsidR="00171055" w:rsidRPr="00E63124">
        <w:rPr>
          <w:rFonts w:cs="Times New Roman"/>
          <w:sz w:val="20"/>
          <w:szCs w:val="20"/>
        </w:rPr>
        <w:t>Kiến tạo thay đổi có trách nhiệm: Kế hoạch chiến lược 2025–2028</w:t>
      </w:r>
      <w:r w:rsidR="00171055" w:rsidRPr="00E63124">
        <w:rPr>
          <w:sz w:val="20"/>
          <w:szCs w:val="20"/>
          <w:lang w:val="en-US"/>
        </w:rPr>
        <w:t>)</w:t>
      </w:r>
      <w:r w:rsidR="00046995" w:rsidRPr="00E63124">
        <w:rPr>
          <w:sz w:val="20"/>
          <w:szCs w:val="20"/>
        </w:rPr>
        <w:t>. WUR</w:t>
      </w:r>
      <w:r w:rsidRPr="00E63124">
        <w:rPr>
          <w:sz w:val="20"/>
          <w:szCs w:val="20"/>
          <w:lang w:val="en-US"/>
        </w:rPr>
        <w:t xml:space="preserve">, </w:t>
      </w:r>
      <w:r w:rsidRPr="00E63124">
        <w:rPr>
          <w:b/>
          <w:bCs/>
          <w:sz w:val="20"/>
          <w:szCs w:val="20"/>
          <w:lang w:val="en-US"/>
        </w:rPr>
        <w:t>2025</w:t>
      </w:r>
      <w:r w:rsidRPr="00E63124">
        <w:rPr>
          <w:sz w:val="20"/>
          <w:szCs w:val="20"/>
          <w:lang w:val="en-US"/>
        </w:rPr>
        <w:t>b</w:t>
      </w:r>
      <w:r w:rsidR="00046995" w:rsidRPr="00E63124">
        <w:rPr>
          <w:sz w:val="20"/>
          <w:szCs w:val="20"/>
        </w:rPr>
        <w:t xml:space="preserve">. </w:t>
      </w:r>
    </w:p>
    <w:p w14:paraId="0CA06875" w14:textId="74557FCC" w:rsidR="00977F99" w:rsidRPr="00977F99" w:rsidRDefault="00977F99" w:rsidP="007D06B6">
      <w:pPr>
        <w:pStyle w:val="ListParagraph"/>
        <w:numPr>
          <w:ilvl w:val="0"/>
          <w:numId w:val="3"/>
        </w:numPr>
        <w:spacing w:before="120" w:after="120" w:line="240" w:lineRule="auto"/>
        <w:jc w:val="both"/>
      </w:pPr>
      <w:r w:rsidRPr="00E63124">
        <w:rPr>
          <w:sz w:val="20"/>
          <w:szCs w:val="20"/>
        </w:rPr>
        <w:t>WUR.</w:t>
      </w:r>
      <w:r w:rsidRPr="00E63124">
        <w:rPr>
          <w:sz w:val="20"/>
          <w:szCs w:val="20"/>
          <w:lang w:val="en-US"/>
        </w:rPr>
        <w:t xml:space="preserve"> </w:t>
      </w:r>
      <w:r w:rsidRPr="00E63124">
        <w:rPr>
          <w:i/>
          <w:iCs/>
          <w:sz w:val="20"/>
          <w:szCs w:val="20"/>
        </w:rPr>
        <w:t>Vision and Mission</w:t>
      </w:r>
      <w:r w:rsidR="00E63124">
        <w:rPr>
          <w:i/>
          <w:iCs/>
          <w:sz w:val="20"/>
          <w:szCs w:val="20"/>
          <w:lang w:val="en-US"/>
        </w:rPr>
        <w:t xml:space="preserve"> (Tầm nhìn và sứ mệnh)</w:t>
      </w:r>
      <w:r w:rsidRPr="00E63124">
        <w:rPr>
          <w:i/>
          <w:iCs/>
          <w:sz w:val="20"/>
          <w:szCs w:val="20"/>
          <w:lang w:val="en-US"/>
        </w:rPr>
        <w:t xml:space="preserve">. </w:t>
      </w:r>
      <w:r w:rsidRPr="00E63124">
        <w:rPr>
          <w:sz w:val="20"/>
          <w:szCs w:val="20"/>
        </w:rPr>
        <w:t>WUR</w:t>
      </w:r>
      <w:r w:rsidRPr="00E63124">
        <w:rPr>
          <w:sz w:val="20"/>
          <w:szCs w:val="20"/>
          <w:lang w:val="en-US"/>
        </w:rPr>
        <w:t xml:space="preserve">. </w:t>
      </w:r>
      <w:hyperlink r:id="rId10" w:history="1">
        <w:r w:rsidRPr="00E63124">
          <w:rPr>
            <w:rStyle w:val="Hyperlink"/>
            <w:sz w:val="20"/>
            <w:szCs w:val="20"/>
            <w:lang w:val="en-US"/>
          </w:rPr>
          <w:t>https://www.wur.nl/en/about-wur/organisation-profile/strategy</w:t>
        </w:r>
      </w:hyperlink>
    </w:p>
    <w:p w14:paraId="3247E679" w14:textId="77777777" w:rsidR="00977F99" w:rsidRPr="00977F99" w:rsidRDefault="00977F99" w:rsidP="00977F99">
      <w:pPr>
        <w:pStyle w:val="ListParagraph"/>
        <w:spacing w:before="120" w:after="120" w:line="240" w:lineRule="auto"/>
        <w:ind w:left="360"/>
        <w:jc w:val="both"/>
      </w:pPr>
    </w:p>
    <w:p w14:paraId="793AD7BB" w14:textId="77777777" w:rsidR="00977F99" w:rsidRPr="00977F99" w:rsidRDefault="00977F99" w:rsidP="00977F99">
      <w:pPr>
        <w:spacing w:before="120" w:after="120" w:line="240" w:lineRule="auto"/>
        <w:jc w:val="both"/>
        <w:rPr>
          <w:sz w:val="22"/>
        </w:rPr>
      </w:pPr>
    </w:p>
    <w:sectPr w:rsidR="00977F99" w:rsidRPr="00977F99" w:rsidSect="00B12F32">
      <w:footerReference w:type="default" r:id="rId11"/>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1977" w14:textId="77777777" w:rsidR="00D71045" w:rsidRDefault="00D71045" w:rsidP="006E3901">
      <w:pPr>
        <w:spacing w:after="0" w:line="240" w:lineRule="auto"/>
      </w:pPr>
      <w:r>
        <w:separator/>
      </w:r>
    </w:p>
  </w:endnote>
  <w:endnote w:type="continuationSeparator" w:id="0">
    <w:p w14:paraId="0799D771" w14:textId="77777777" w:rsidR="00D71045" w:rsidRDefault="00D71045" w:rsidP="006E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498110824"/>
      <w:docPartObj>
        <w:docPartGallery w:val="Page Numbers (Bottom of Page)"/>
        <w:docPartUnique/>
      </w:docPartObj>
    </w:sdtPr>
    <w:sdtEndPr>
      <w:rPr>
        <w:noProof/>
      </w:rPr>
    </w:sdtEndPr>
    <w:sdtContent>
      <w:p w14:paraId="5420182A" w14:textId="042DBB38" w:rsidR="00B12F32" w:rsidRPr="00B12F32" w:rsidRDefault="00B12F32" w:rsidP="00B12F32">
        <w:pPr>
          <w:pStyle w:val="Footer"/>
          <w:jc w:val="right"/>
          <w:rPr>
            <w:sz w:val="24"/>
            <w:szCs w:val="24"/>
          </w:rPr>
        </w:pPr>
        <w:r w:rsidRPr="00B12F32">
          <w:rPr>
            <w:sz w:val="24"/>
            <w:szCs w:val="24"/>
          </w:rPr>
          <w:fldChar w:fldCharType="begin"/>
        </w:r>
        <w:r w:rsidRPr="00B12F32">
          <w:rPr>
            <w:sz w:val="24"/>
            <w:szCs w:val="24"/>
          </w:rPr>
          <w:instrText xml:space="preserve"> PAGE   \* MERGEFORMAT </w:instrText>
        </w:r>
        <w:r w:rsidRPr="00B12F32">
          <w:rPr>
            <w:sz w:val="24"/>
            <w:szCs w:val="24"/>
          </w:rPr>
          <w:fldChar w:fldCharType="separate"/>
        </w:r>
        <w:r w:rsidRPr="00B12F32">
          <w:rPr>
            <w:noProof/>
            <w:sz w:val="24"/>
            <w:szCs w:val="24"/>
          </w:rPr>
          <w:t>2</w:t>
        </w:r>
        <w:r w:rsidRPr="00B12F32">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2BA1" w14:textId="77777777" w:rsidR="00D71045" w:rsidRDefault="00D71045" w:rsidP="006E3901">
      <w:pPr>
        <w:spacing w:after="0" w:line="240" w:lineRule="auto"/>
      </w:pPr>
      <w:r>
        <w:separator/>
      </w:r>
    </w:p>
  </w:footnote>
  <w:footnote w:type="continuationSeparator" w:id="0">
    <w:p w14:paraId="051BA946" w14:textId="77777777" w:rsidR="00D71045" w:rsidRDefault="00D71045" w:rsidP="006E3901">
      <w:pPr>
        <w:spacing w:after="0" w:line="240" w:lineRule="auto"/>
      </w:pPr>
      <w:r>
        <w:continuationSeparator/>
      </w:r>
    </w:p>
  </w:footnote>
  <w:footnote w:id="1">
    <w:p w14:paraId="29426A46" w14:textId="2FF1FF5D" w:rsidR="00B12F32" w:rsidRPr="00B12F32" w:rsidRDefault="00B12F32">
      <w:pPr>
        <w:pStyle w:val="FootnoteText"/>
        <w:rPr>
          <w:lang w:val="en-US"/>
        </w:rPr>
      </w:pPr>
      <w:r>
        <w:rPr>
          <w:rStyle w:val="FootnoteReference"/>
        </w:rPr>
        <w:t>*</w:t>
      </w:r>
      <w:r>
        <w:t xml:space="preserve"> </w:t>
      </w:r>
      <w:r>
        <w:t>Corresponding author</w:t>
      </w:r>
      <w:r>
        <w:rPr>
          <w:lang w:val="en-US"/>
        </w:rPr>
        <w:t>: thinhpv@tdmu.edu.vn</w:t>
      </w:r>
    </w:p>
  </w:footnote>
  <w:footnote w:id="2">
    <w:p w14:paraId="77BB0900" w14:textId="35115FAE" w:rsidR="006E3901" w:rsidRPr="006E3901" w:rsidRDefault="006E3901">
      <w:pPr>
        <w:pStyle w:val="FootnoteText"/>
        <w:rPr>
          <w:lang w:val="en-US"/>
        </w:rPr>
      </w:pPr>
      <w:r>
        <w:rPr>
          <w:rStyle w:val="FootnoteReference"/>
        </w:rPr>
        <w:t>*</w:t>
      </w:r>
      <w:r>
        <w:t xml:space="preserve"> </w:t>
      </w:r>
      <w:r>
        <w:rPr>
          <w:lang w:val="en-US"/>
        </w:rPr>
        <w:t>Tác giả liên hệ: thinhpv@tdmu.edu.vn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27CDA"/>
    <w:multiLevelType w:val="hybridMultilevel"/>
    <w:tmpl w:val="21E82B3C"/>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15:restartNumberingAfterBreak="0">
    <w:nsid w:val="762B3122"/>
    <w:multiLevelType w:val="hybridMultilevel"/>
    <w:tmpl w:val="2A58CEBA"/>
    <w:lvl w:ilvl="0" w:tplc="4968797E">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CE646EF"/>
    <w:multiLevelType w:val="multilevel"/>
    <w:tmpl w:val="0C660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94"/>
    <w:rsid w:val="0003570E"/>
    <w:rsid w:val="00046995"/>
    <w:rsid w:val="000B0DF1"/>
    <w:rsid w:val="000F4C16"/>
    <w:rsid w:val="001641D8"/>
    <w:rsid w:val="00171055"/>
    <w:rsid w:val="001C01E3"/>
    <w:rsid w:val="001D4D00"/>
    <w:rsid w:val="00223E00"/>
    <w:rsid w:val="00306206"/>
    <w:rsid w:val="00465700"/>
    <w:rsid w:val="00497694"/>
    <w:rsid w:val="004D19C4"/>
    <w:rsid w:val="004E3FCD"/>
    <w:rsid w:val="004F2881"/>
    <w:rsid w:val="00551D7C"/>
    <w:rsid w:val="00577B5E"/>
    <w:rsid w:val="006E3901"/>
    <w:rsid w:val="006E544A"/>
    <w:rsid w:val="006F21D6"/>
    <w:rsid w:val="007007ED"/>
    <w:rsid w:val="007A04F3"/>
    <w:rsid w:val="00826A06"/>
    <w:rsid w:val="00830DE5"/>
    <w:rsid w:val="00882B22"/>
    <w:rsid w:val="00891380"/>
    <w:rsid w:val="008A276F"/>
    <w:rsid w:val="0092315F"/>
    <w:rsid w:val="009503F0"/>
    <w:rsid w:val="00977F99"/>
    <w:rsid w:val="009E418C"/>
    <w:rsid w:val="00A356E7"/>
    <w:rsid w:val="00AA598F"/>
    <w:rsid w:val="00AB20FB"/>
    <w:rsid w:val="00B12F32"/>
    <w:rsid w:val="00B417DD"/>
    <w:rsid w:val="00BE5927"/>
    <w:rsid w:val="00C43FBE"/>
    <w:rsid w:val="00C70FBE"/>
    <w:rsid w:val="00C808B9"/>
    <w:rsid w:val="00C82595"/>
    <w:rsid w:val="00C85681"/>
    <w:rsid w:val="00D23B84"/>
    <w:rsid w:val="00D53833"/>
    <w:rsid w:val="00D71045"/>
    <w:rsid w:val="00DC36A6"/>
    <w:rsid w:val="00DF2DE0"/>
    <w:rsid w:val="00E63124"/>
    <w:rsid w:val="00E7242F"/>
    <w:rsid w:val="00EB4C17"/>
    <w:rsid w:val="00F573EE"/>
    <w:rsid w:val="00F91550"/>
    <w:rsid w:val="00FA72BD"/>
    <w:rsid w:val="00FB1144"/>
    <w:rsid w:val="00FE1421"/>
    <w:rsid w:val="00FE38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11FF"/>
  <w15:chartTrackingRefBased/>
  <w15:docId w15:val="{05A6DCD2-1676-4F7E-9866-5CC5D345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69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976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76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976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76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76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76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6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69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976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976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976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76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76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76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7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69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9769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97694"/>
    <w:pPr>
      <w:spacing w:before="160"/>
      <w:jc w:val="center"/>
    </w:pPr>
    <w:rPr>
      <w:i/>
      <w:iCs/>
      <w:color w:val="404040" w:themeColor="text1" w:themeTint="BF"/>
    </w:rPr>
  </w:style>
  <w:style w:type="character" w:customStyle="1" w:styleId="QuoteChar">
    <w:name w:val="Quote Char"/>
    <w:basedOn w:val="DefaultParagraphFont"/>
    <w:link w:val="Quote"/>
    <w:uiPriority w:val="29"/>
    <w:rsid w:val="00497694"/>
    <w:rPr>
      <w:i/>
      <w:iCs/>
      <w:color w:val="404040" w:themeColor="text1" w:themeTint="BF"/>
    </w:rPr>
  </w:style>
  <w:style w:type="paragraph" w:styleId="ListParagraph">
    <w:name w:val="List Paragraph"/>
    <w:basedOn w:val="Normal"/>
    <w:uiPriority w:val="34"/>
    <w:qFormat/>
    <w:rsid w:val="00497694"/>
    <w:pPr>
      <w:ind w:left="720"/>
      <w:contextualSpacing/>
    </w:pPr>
  </w:style>
  <w:style w:type="character" w:styleId="IntenseEmphasis">
    <w:name w:val="Intense Emphasis"/>
    <w:basedOn w:val="DefaultParagraphFont"/>
    <w:uiPriority w:val="21"/>
    <w:qFormat/>
    <w:rsid w:val="00497694"/>
    <w:rPr>
      <w:i/>
      <w:iCs/>
      <w:color w:val="2F5496" w:themeColor="accent1" w:themeShade="BF"/>
    </w:rPr>
  </w:style>
  <w:style w:type="paragraph" w:styleId="IntenseQuote">
    <w:name w:val="Intense Quote"/>
    <w:basedOn w:val="Normal"/>
    <w:next w:val="Normal"/>
    <w:link w:val="IntenseQuoteChar"/>
    <w:uiPriority w:val="30"/>
    <w:qFormat/>
    <w:rsid w:val="00497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694"/>
    <w:rPr>
      <w:i/>
      <w:iCs/>
      <w:color w:val="2F5496" w:themeColor="accent1" w:themeShade="BF"/>
    </w:rPr>
  </w:style>
  <w:style w:type="character" w:styleId="IntenseReference">
    <w:name w:val="Intense Reference"/>
    <w:basedOn w:val="DefaultParagraphFont"/>
    <w:uiPriority w:val="32"/>
    <w:qFormat/>
    <w:rsid w:val="00497694"/>
    <w:rPr>
      <w:b/>
      <w:bCs/>
      <w:smallCaps/>
      <w:color w:val="2F5496" w:themeColor="accent1" w:themeShade="BF"/>
      <w:spacing w:val="5"/>
    </w:rPr>
  </w:style>
  <w:style w:type="character" w:styleId="Hyperlink">
    <w:name w:val="Hyperlink"/>
    <w:basedOn w:val="DefaultParagraphFont"/>
    <w:uiPriority w:val="99"/>
    <w:unhideWhenUsed/>
    <w:rsid w:val="00497694"/>
    <w:rPr>
      <w:color w:val="0563C1" w:themeColor="hyperlink"/>
      <w:u w:val="single"/>
    </w:rPr>
  </w:style>
  <w:style w:type="character" w:styleId="UnresolvedMention">
    <w:name w:val="Unresolved Mention"/>
    <w:basedOn w:val="DefaultParagraphFont"/>
    <w:uiPriority w:val="99"/>
    <w:semiHidden/>
    <w:unhideWhenUsed/>
    <w:rsid w:val="00497694"/>
    <w:rPr>
      <w:color w:val="605E5C"/>
      <w:shd w:val="clear" w:color="auto" w:fill="E1DFDD"/>
    </w:rPr>
  </w:style>
  <w:style w:type="paragraph" w:styleId="NormalWeb">
    <w:name w:val="Normal (Web)"/>
    <w:basedOn w:val="Normal"/>
    <w:uiPriority w:val="99"/>
    <w:semiHidden/>
    <w:unhideWhenUsed/>
    <w:rsid w:val="00F91550"/>
    <w:pPr>
      <w:spacing w:before="100" w:beforeAutospacing="1" w:after="100" w:afterAutospacing="1" w:line="240" w:lineRule="auto"/>
    </w:pPr>
    <w:rPr>
      <w:rFonts w:eastAsia="Times New Roman" w:cs="Times New Roman"/>
      <w:kern w:val="0"/>
      <w:sz w:val="24"/>
      <w:szCs w:val="24"/>
      <w:lang w:val="en-US"/>
      <w14:ligatures w14:val="none"/>
    </w:rPr>
  </w:style>
  <w:style w:type="character" w:styleId="Strong">
    <w:name w:val="Strong"/>
    <w:basedOn w:val="DefaultParagraphFont"/>
    <w:uiPriority w:val="22"/>
    <w:qFormat/>
    <w:rsid w:val="00F91550"/>
    <w:rPr>
      <w:b/>
      <w:bCs/>
    </w:rPr>
  </w:style>
  <w:style w:type="paragraph" w:styleId="FootnoteText">
    <w:name w:val="footnote text"/>
    <w:basedOn w:val="Normal"/>
    <w:link w:val="FootnoteTextChar"/>
    <w:uiPriority w:val="99"/>
    <w:semiHidden/>
    <w:unhideWhenUsed/>
    <w:rsid w:val="006E39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901"/>
    <w:rPr>
      <w:sz w:val="20"/>
      <w:szCs w:val="20"/>
    </w:rPr>
  </w:style>
  <w:style w:type="character" w:styleId="FootnoteReference">
    <w:name w:val="footnote reference"/>
    <w:basedOn w:val="DefaultParagraphFont"/>
    <w:uiPriority w:val="99"/>
    <w:semiHidden/>
    <w:unhideWhenUsed/>
    <w:rsid w:val="006E3901"/>
    <w:rPr>
      <w:vertAlign w:val="superscript"/>
    </w:rPr>
  </w:style>
  <w:style w:type="character" w:styleId="Emphasis">
    <w:name w:val="Emphasis"/>
    <w:basedOn w:val="DefaultParagraphFont"/>
    <w:uiPriority w:val="20"/>
    <w:qFormat/>
    <w:rsid w:val="00B12F32"/>
    <w:rPr>
      <w:i/>
      <w:iCs/>
    </w:rPr>
  </w:style>
  <w:style w:type="paragraph" w:styleId="Header">
    <w:name w:val="header"/>
    <w:basedOn w:val="Normal"/>
    <w:link w:val="HeaderChar"/>
    <w:uiPriority w:val="99"/>
    <w:unhideWhenUsed/>
    <w:rsid w:val="00B12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F32"/>
  </w:style>
  <w:style w:type="paragraph" w:styleId="Footer">
    <w:name w:val="footer"/>
    <w:basedOn w:val="Normal"/>
    <w:link w:val="FooterChar"/>
    <w:uiPriority w:val="99"/>
    <w:unhideWhenUsed/>
    <w:rsid w:val="00B12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7366">
      <w:bodyDiv w:val="1"/>
      <w:marLeft w:val="0"/>
      <w:marRight w:val="0"/>
      <w:marTop w:val="0"/>
      <w:marBottom w:val="0"/>
      <w:divBdr>
        <w:top w:val="none" w:sz="0" w:space="0" w:color="auto"/>
        <w:left w:val="none" w:sz="0" w:space="0" w:color="auto"/>
        <w:bottom w:val="none" w:sz="0" w:space="0" w:color="auto"/>
        <w:right w:val="none" w:sz="0" w:space="0" w:color="auto"/>
      </w:divBdr>
    </w:div>
    <w:div w:id="723606820">
      <w:bodyDiv w:val="1"/>
      <w:marLeft w:val="0"/>
      <w:marRight w:val="0"/>
      <w:marTop w:val="0"/>
      <w:marBottom w:val="0"/>
      <w:divBdr>
        <w:top w:val="none" w:sz="0" w:space="0" w:color="auto"/>
        <w:left w:val="none" w:sz="0" w:space="0" w:color="auto"/>
        <w:bottom w:val="none" w:sz="0" w:space="0" w:color="auto"/>
        <w:right w:val="none" w:sz="0" w:space="0" w:color="auto"/>
      </w:divBdr>
    </w:div>
    <w:div w:id="750390740">
      <w:bodyDiv w:val="1"/>
      <w:marLeft w:val="0"/>
      <w:marRight w:val="0"/>
      <w:marTop w:val="0"/>
      <w:marBottom w:val="0"/>
      <w:divBdr>
        <w:top w:val="none" w:sz="0" w:space="0" w:color="auto"/>
        <w:left w:val="none" w:sz="0" w:space="0" w:color="auto"/>
        <w:bottom w:val="none" w:sz="0" w:space="0" w:color="auto"/>
        <w:right w:val="none" w:sz="0" w:space="0" w:color="auto"/>
      </w:divBdr>
    </w:div>
    <w:div w:id="8601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625/ijss.v4i6.99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ur.nl/en/about-wur/organisation-profile/strategy" TargetMode="External"/><Relationship Id="rId4" Type="http://schemas.openxmlformats.org/officeDocument/2006/relationships/settings" Target="settings.xml"/><Relationship Id="rId9" Type="http://schemas.openxmlformats.org/officeDocument/2006/relationships/hyperlink" Target="https://doi.org/10.1016/j.jclepro.2014.11.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6E526-381A-484E-931A-9E40AF68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4968</Words>
  <Characters>28320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Phạm</dc:creator>
  <cp:keywords/>
  <dc:description/>
  <cp:lastModifiedBy>PC</cp:lastModifiedBy>
  <cp:revision>3</cp:revision>
  <dcterms:created xsi:type="dcterms:W3CDTF">2026-02-23T07:26:00Z</dcterms:created>
  <dcterms:modified xsi:type="dcterms:W3CDTF">2026-02-23T07:27:00Z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b75d29e7-4fe1-4563-8a15-d2c20b165394</vt:lpwstr>
  </property>
</Properties>
</file>