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F170" w14:textId="77777777" w:rsidR="008A09C0" w:rsidRPr="008A09C0" w:rsidRDefault="008A09C0" w:rsidP="008A09C0">
      <w:pPr>
        <w:rPr>
          <w:rFonts w:ascii="Times New Roman" w:hAnsi="Times New Roman" w:cs="Times New Roman"/>
          <w:b/>
          <w:bCs/>
          <w:lang w:val="en-US"/>
        </w:rPr>
      </w:pPr>
      <w:r w:rsidRPr="008A09C0">
        <w:rPr>
          <w:rFonts w:ascii="Times New Roman" w:hAnsi="Times New Roman" w:cs="Times New Roman"/>
          <w:b/>
          <w:bCs/>
          <w:lang w:val="en-US"/>
        </w:rPr>
        <w:t>Response to Reviewers</w:t>
      </w:r>
    </w:p>
    <w:p w14:paraId="1F671BF9" w14:textId="77777777" w:rsidR="008A09C0" w:rsidRPr="008A09C0" w:rsidRDefault="008A09C0" w:rsidP="008A09C0">
      <w:pPr>
        <w:rPr>
          <w:rFonts w:ascii="Times New Roman" w:hAnsi="Times New Roman" w:cs="Times New Roman"/>
          <w:lang w:val="en-US"/>
        </w:rPr>
      </w:pPr>
      <w:r w:rsidRPr="008A09C0">
        <w:rPr>
          <w:rFonts w:ascii="Times New Roman" w:hAnsi="Times New Roman" w:cs="Times New Roman"/>
          <w:lang w:val="en-US"/>
        </w:rPr>
        <w:t>Dear Editor and Reviewers,</w:t>
      </w:r>
    </w:p>
    <w:p w14:paraId="1BB83ABA" w14:textId="77777777" w:rsidR="002A76BB" w:rsidRDefault="008A09C0" w:rsidP="002A76BB">
      <w:pPr>
        <w:jc w:val="both"/>
        <w:rPr>
          <w:rFonts w:ascii="Times New Roman" w:hAnsi="Times New Roman" w:cs="Times New Roman"/>
          <w:lang w:val="en-US"/>
        </w:rPr>
      </w:pPr>
      <w:r w:rsidRPr="008A09C0">
        <w:rPr>
          <w:rFonts w:ascii="Times New Roman" w:hAnsi="Times New Roman" w:cs="Times New Roman"/>
          <w:lang w:val="en-US"/>
        </w:rPr>
        <w:t xml:space="preserve">We sincerely thank the Editor and both reviewers for their careful reading of our manuscript and for their valuable comments and suggestions. These comments have helped us improve the clarity, structure, and academic </w:t>
      </w:r>
      <w:r w:rsidR="002A76BB">
        <w:rPr>
          <w:rFonts w:ascii="Times New Roman" w:hAnsi="Times New Roman" w:cs="Times New Roman"/>
          <w:lang w:val="en-US"/>
        </w:rPr>
        <w:t>value</w:t>
      </w:r>
      <w:r w:rsidRPr="008A09C0">
        <w:rPr>
          <w:rFonts w:ascii="Times New Roman" w:hAnsi="Times New Roman" w:cs="Times New Roman"/>
          <w:lang w:val="en-US"/>
        </w:rPr>
        <w:t xml:space="preserve"> of the paper. We have carefully revised the manuscript accordingly. All revisions have been incorporated in the revised version of the manuscript.</w:t>
      </w:r>
    </w:p>
    <w:p w14:paraId="56DE9368" w14:textId="4BF5472C" w:rsidR="008A09C0" w:rsidRPr="00600F21" w:rsidRDefault="008A09C0" w:rsidP="002A76BB">
      <w:pPr>
        <w:jc w:val="both"/>
        <w:rPr>
          <w:rFonts w:ascii="Times New Roman" w:hAnsi="Times New Roman" w:cs="Times New Roman"/>
          <w:lang w:val="en-US"/>
        </w:rPr>
      </w:pPr>
      <w:r w:rsidRPr="008A09C0">
        <w:rPr>
          <w:rFonts w:ascii="Times New Roman" w:hAnsi="Times New Roman" w:cs="Times New Roman"/>
          <w:lang w:val="en-US"/>
        </w:rPr>
        <w:t>Below we provide a summary of the major revisions made in response to each reviewer’s comments.</w:t>
      </w:r>
    </w:p>
    <w:tbl>
      <w:tblPr>
        <w:tblStyle w:val="TableGrid"/>
        <w:tblW w:w="9918" w:type="dxa"/>
        <w:tblLook w:val="04A0" w:firstRow="1" w:lastRow="0" w:firstColumn="1" w:lastColumn="0" w:noHBand="0" w:noVBand="1"/>
      </w:tblPr>
      <w:tblGrid>
        <w:gridCol w:w="5196"/>
        <w:gridCol w:w="4722"/>
      </w:tblGrid>
      <w:tr w:rsidR="009E1A33" w:rsidRPr="00600F21" w14:paraId="5627C841" w14:textId="77777777" w:rsidTr="00637523">
        <w:tc>
          <w:tcPr>
            <w:tcW w:w="5196" w:type="dxa"/>
          </w:tcPr>
          <w:p w14:paraId="546D2D87" w14:textId="362C2377" w:rsidR="009E1A33" w:rsidRPr="00600F21" w:rsidRDefault="009E1A33" w:rsidP="009E1A33">
            <w:pPr>
              <w:spacing w:after="160" w:line="278" w:lineRule="auto"/>
              <w:rPr>
                <w:rFonts w:ascii="Times New Roman" w:hAnsi="Times New Roman" w:cs="Times New Roman"/>
                <w:b/>
                <w:bCs/>
                <w:lang w:val="en-US"/>
              </w:rPr>
            </w:pPr>
            <w:r w:rsidRPr="008A09C0">
              <w:rPr>
                <w:rFonts w:ascii="Times New Roman" w:hAnsi="Times New Roman" w:cs="Times New Roman"/>
                <w:b/>
                <w:bCs/>
                <w:lang w:val="en-US"/>
              </w:rPr>
              <w:t>Response to Reviewer 1</w:t>
            </w:r>
          </w:p>
        </w:tc>
        <w:tc>
          <w:tcPr>
            <w:tcW w:w="4722" w:type="dxa"/>
          </w:tcPr>
          <w:p w14:paraId="7B786E2E" w14:textId="04C52874" w:rsidR="009E1A33" w:rsidRPr="00600F21" w:rsidRDefault="009E1A33" w:rsidP="009E1A33">
            <w:pPr>
              <w:spacing w:after="160" w:line="278" w:lineRule="auto"/>
              <w:rPr>
                <w:rFonts w:ascii="Times New Roman" w:hAnsi="Times New Roman" w:cs="Times New Roman"/>
                <w:b/>
                <w:bCs/>
                <w:lang w:val="en-US"/>
              </w:rPr>
            </w:pPr>
            <w:r w:rsidRPr="008A09C0">
              <w:rPr>
                <w:rFonts w:ascii="Times New Roman" w:hAnsi="Times New Roman" w:cs="Times New Roman"/>
                <w:b/>
                <w:bCs/>
                <w:lang w:val="en-US"/>
              </w:rPr>
              <w:t>Response to Reviewer 2</w:t>
            </w:r>
          </w:p>
        </w:tc>
      </w:tr>
      <w:tr w:rsidR="00D33226" w:rsidRPr="00600F21" w14:paraId="68B10620" w14:textId="77777777" w:rsidTr="00637523">
        <w:tc>
          <w:tcPr>
            <w:tcW w:w="5196" w:type="dxa"/>
          </w:tcPr>
          <w:p w14:paraId="6150CBE1" w14:textId="1159129F" w:rsidR="00D33226" w:rsidRPr="00600F21" w:rsidRDefault="00D33226" w:rsidP="00D33226">
            <w:pPr>
              <w:spacing w:after="160" w:line="278" w:lineRule="auto"/>
              <w:rPr>
                <w:rFonts w:ascii="Times New Roman" w:hAnsi="Times New Roman" w:cs="Times New Roman"/>
                <w:b/>
                <w:bCs/>
                <w:lang w:val="en-US"/>
              </w:rPr>
            </w:pPr>
            <w:r w:rsidRPr="008A09C0">
              <w:rPr>
                <w:rFonts w:ascii="Times New Roman" w:hAnsi="Times New Roman" w:cs="Times New Roman"/>
                <w:lang w:val="en-US"/>
              </w:rPr>
              <w:t>We appreciate the reviewer’s constructive comments regarding the methodological clarity and the interpretation of the dataset.</w:t>
            </w:r>
          </w:p>
        </w:tc>
        <w:tc>
          <w:tcPr>
            <w:tcW w:w="4722" w:type="dxa"/>
          </w:tcPr>
          <w:p w14:paraId="73AA55F8" w14:textId="55DD1625" w:rsidR="00D33226" w:rsidRPr="00600F21" w:rsidRDefault="00D33226" w:rsidP="00D33226">
            <w:pPr>
              <w:spacing w:after="160" w:line="278" w:lineRule="auto"/>
              <w:rPr>
                <w:rFonts w:ascii="Times New Roman" w:hAnsi="Times New Roman" w:cs="Times New Roman"/>
                <w:lang w:val="en-US"/>
              </w:rPr>
            </w:pPr>
            <w:r w:rsidRPr="008A09C0">
              <w:rPr>
                <w:rFonts w:ascii="Times New Roman" w:hAnsi="Times New Roman" w:cs="Times New Roman"/>
                <w:lang w:val="en-US"/>
              </w:rPr>
              <w:t>We are grateful for the reviewer’s helpful comments on the conceptual framework and theoretical discussion.</w:t>
            </w:r>
          </w:p>
        </w:tc>
      </w:tr>
      <w:tr w:rsidR="009725C0" w:rsidRPr="00600F21" w14:paraId="697C1396" w14:textId="77777777" w:rsidTr="00637523">
        <w:tc>
          <w:tcPr>
            <w:tcW w:w="5196" w:type="dxa"/>
          </w:tcPr>
          <w:p w14:paraId="4752808C" w14:textId="77777777" w:rsidR="009725C0" w:rsidRPr="00731F4C" w:rsidRDefault="009725C0" w:rsidP="00731F4C">
            <w:pPr>
              <w:pStyle w:val="ListParagraph"/>
              <w:numPr>
                <w:ilvl w:val="0"/>
                <w:numId w:val="1"/>
              </w:numPr>
              <w:tabs>
                <w:tab w:val="left" w:pos="290"/>
              </w:tabs>
              <w:ind w:left="32" w:firstLine="0"/>
              <w:rPr>
                <w:rFonts w:ascii="Times New Roman" w:hAnsi="Times New Roman" w:cs="Times New Roman"/>
                <w:b/>
                <w:bCs/>
                <w:lang w:val="en-US"/>
              </w:rPr>
            </w:pPr>
            <w:r w:rsidRPr="00600F21">
              <w:rPr>
                <w:rFonts w:ascii="Times New Roman" w:hAnsi="Times New Roman" w:cs="Times New Roman"/>
                <w:b/>
                <w:bCs/>
              </w:rPr>
              <w:t>Comments on the manuscript organization</w:t>
            </w:r>
          </w:p>
          <w:p w14:paraId="3503E08D" w14:textId="7F65F253" w:rsidR="00731F4C" w:rsidRPr="00731F4C" w:rsidRDefault="00731F4C" w:rsidP="00731F4C">
            <w:pPr>
              <w:rPr>
                <w:rFonts w:ascii="Times New Roman" w:hAnsi="Times New Roman" w:cs="Times New Roman"/>
                <w:b/>
                <w:bCs/>
                <w:lang w:val="en-US"/>
              </w:rPr>
            </w:pPr>
            <w:r w:rsidRPr="00600F21">
              <w:rPr>
                <w:rFonts w:ascii="Times New Roman" w:hAnsi="Times New Roman" w:cs="Times New Roman"/>
                <w:b/>
                <w:bCs/>
                <w:color w:val="0070C0"/>
              </w:rPr>
              <w:t>Response:</w:t>
            </w:r>
          </w:p>
          <w:p w14:paraId="082E62A4" w14:textId="75C44C7A" w:rsidR="009725C0" w:rsidRPr="00600F21" w:rsidRDefault="00731F4C" w:rsidP="00364B61">
            <w:pPr>
              <w:pStyle w:val="ListParagraph"/>
              <w:numPr>
                <w:ilvl w:val="0"/>
                <w:numId w:val="2"/>
              </w:numPr>
              <w:tabs>
                <w:tab w:val="left" w:pos="400"/>
              </w:tabs>
              <w:ind w:left="32" w:firstLine="142"/>
              <w:jc w:val="both"/>
              <w:rPr>
                <w:rFonts w:ascii="Times New Roman" w:hAnsi="Times New Roman" w:cs="Times New Roman"/>
                <w:lang w:val="en-US"/>
              </w:rPr>
            </w:pPr>
            <w:r w:rsidRPr="00731F4C">
              <w:rPr>
                <w:rFonts w:ascii="Times New Roman" w:hAnsi="Times New Roman" w:cs="Times New Roman"/>
                <w:color w:val="0070C0"/>
                <w:lang w:val="en-US"/>
              </w:rPr>
              <w:drawing>
                <wp:anchor distT="0" distB="0" distL="114300" distR="114300" simplePos="0" relativeHeight="251658240" behindDoc="0" locked="0" layoutInCell="1" allowOverlap="1" wp14:anchorId="032EEE56" wp14:editId="0CA2219B">
                  <wp:simplePos x="0" y="0"/>
                  <wp:positionH relativeFrom="column">
                    <wp:posOffset>48895</wp:posOffset>
                  </wp:positionH>
                  <wp:positionV relativeFrom="paragraph">
                    <wp:posOffset>779780</wp:posOffset>
                  </wp:positionV>
                  <wp:extent cx="2489200" cy="1082040"/>
                  <wp:effectExtent l="0" t="0" r="6350" b="3810"/>
                  <wp:wrapSquare wrapText="bothSides"/>
                  <wp:docPr id="98082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23450" name=""/>
                          <pic:cNvPicPr/>
                        </pic:nvPicPr>
                        <pic:blipFill>
                          <a:blip r:embed="rId5">
                            <a:extLst>
                              <a:ext uri="{28A0092B-C50C-407E-A947-70E740481C1C}">
                                <a14:useLocalDpi xmlns:a14="http://schemas.microsoft.com/office/drawing/2010/main" val="0"/>
                              </a:ext>
                            </a:extLst>
                          </a:blip>
                          <a:stretch>
                            <a:fillRect/>
                          </a:stretch>
                        </pic:blipFill>
                        <pic:spPr>
                          <a:xfrm>
                            <a:off x="0" y="0"/>
                            <a:ext cx="2489200" cy="1082040"/>
                          </a:xfrm>
                          <a:prstGeom prst="rect">
                            <a:avLst/>
                          </a:prstGeom>
                        </pic:spPr>
                      </pic:pic>
                    </a:graphicData>
                  </a:graphic>
                  <wp14:sizeRelH relativeFrom="margin">
                    <wp14:pctWidth>0</wp14:pctWidth>
                  </wp14:sizeRelH>
                  <wp14:sizeRelV relativeFrom="margin">
                    <wp14:pctHeight>0</wp14:pctHeight>
                  </wp14:sizeRelV>
                </wp:anchor>
              </w:drawing>
            </w:r>
            <w:r w:rsidR="003E44E1" w:rsidRPr="00731F4C">
              <w:rPr>
                <w:rFonts w:ascii="Times New Roman" w:hAnsi="Times New Roman" w:cs="Times New Roman"/>
                <w:color w:val="0070C0"/>
              </w:rPr>
              <w:t>Minor language issues have been carefully corrected throughout the manuscript (e.g., “one studies” has been revised to “one study”)</w:t>
            </w:r>
            <w:r w:rsidR="003E44E1" w:rsidRPr="00731F4C">
              <w:rPr>
                <w:rFonts w:ascii="Times New Roman" w:hAnsi="Times New Roman" w:cs="Times New Roman"/>
                <w:color w:val="0070C0"/>
              </w:rPr>
              <w:t>: section 4.1</w:t>
            </w:r>
            <w:r w:rsidR="00364B61" w:rsidRPr="00731F4C">
              <w:rPr>
                <w:rFonts w:ascii="Times New Roman" w:hAnsi="Times New Roman" w:cs="Times New Roman"/>
                <w:color w:val="0070C0"/>
              </w:rPr>
              <w:t>.</w:t>
            </w:r>
          </w:p>
          <w:p w14:paraId="03A0B3F7" w14:textId="4DC410C6" w:rsidR="003E44E1" w:rsidRPr="00600F21" w:rsidRDefault="00364B61" w:rsidP="00364B61">
            <w:pPr>
              <w:pStyle w:val="ListParagraph"/>
              <w:numPr>
                <w:ilvl w:val="0"/>
                <w:numId w:val="2"/>
              </w:numPr>
              <w:tabs>
                <w:tab w:val="left" w:pos="400"/>
              </w:tabs>
              <w:ind w:left="32" w:firstLine="142"/>
              <w:jc w:val="both"/>
              <w:rPr>
                <w:rFonts w:ascii="Times New Roman" w:hAnsi="Times New Roman" w:cs="Times New Roman"/>
                <w:lang w:val="en-US"/>
              </w:rPr>
            </w:pPr>
            <w:r w:rsidRPr="00731F4C">
              <w:rPr>
                <w:rFonts w:ascii="Times New Roman" w:hAnsi="Times New Roman" w:cs="Times New Roman"/>
                <w:color w:val="0070C0"/>
              </w:rPr>
              <w:t>Regarding the inclusion of the Technology Acceptance Model (TAM) by Davis (1989), this reference was retained because it is cited in one of the reviewed studies (Alzghoul and Al-kasasbeh [27])</w:t>
            </w:r>
            <w:r w:rsidRPr="00731F4C">
              <w:rPr>
                <w:rFonts w:ascii="Times New Roman" w:hAnsi="Times New Roman" w:cs="Times New Roman"/>
                <w:color w:val="0070C0"/>
              </w:rPr>
              <w:t xml:space="preserve">. </w:t>
            </w:r>
            <w:r w:rsidRPr="00731F4C">
              <w:rPr>
                <w:rFonts w:ascii="Times New Roman" w:hAnsi="Times New Roman" w:cs="Times New Roman"/>
                <w:color w:val="0070C0"/>
              </w:rPr>
              <w:t>Therefore, the reference is included to accurately reflect the theoretical frameworks used in the existing literature on FinTech adoption.</w:t>
            </w:r>
          </w:p>
        </w:tc>
        <w:tc>
          <w:tcPr>
            <w:tcW w:w="4722" w:type="dxa"/>
          </w:tcPr>
          <w:p w14:paraId="658ABF7E" w14:textId="1E31EFFF" w:rsidR="009725C0" w:rsidRDefault="0041597E" w:rsidP="00731F4C">
            <w:pPr>
              <w:pStyle w:val="ListParagraph"/>
              <w:numPr>
                <w:ilvl w:val="0"/>
                <w:numId w:val="3"/>
              </w:numPr>
              <w:tabs>
                <w:tab w:val="left" w:pos="290"/>
              </w:tabs>
              <w:ind w:left="77" w:firstLine="0"/>
              <w:jc w:val="both"/>
              <w:rPr>
                <w:rFonts w:ascii="Times New Roman" w:hAnsi="Times New Roman" w:cs="Times New Roman"/>
                <w:b/>
                <w:bCs/>
                <w:lang w:val="en-US"/>
              </w:rPr>
            </w:pPr>
            <w:r>
              <w:rPr>
                <w:rFonts w:ascii="Times New Roman" w:hAnsi="Times New Roman" w:cs="Times New Roman"/>
                <w:b/>
                <w:bCs/>
                <w:lang w:val="en-US"/>
              </w:rPr>
              <w:t xml:space="preserve"> </w:t>
            </w:r>
            <w:r w:rsidR="00731F4C" w:rsidRPr="00731F4C">
              <w:rPr>
                <w:rFonts w:ascii="Times New Roman" w:hAnsi="Times New Roman" w:cs="Times New Roman"/>
                <w:b/>
                <w:bCs/>
                <w:lang w:val="en-US"/>
              </w:rPr>
              <w:t>Revise the topic to more comprehensively cover the contribution results.</w:t>
            </w:r>
          </w:p>
          <w:p w14:paraId="4724CA92" w14:textId="42567224" w:rsidR="00731F4C" w:rsidRPr="00731F4C" w:rsidRDefault="00731F4C" w:rsidP="001B58C5">
            <w:pPr>
              <w:jc w:val="both"/>
              <w:rPr>
                <w:rFonts w:ascii="Times New Roman" w:hAnsi="Times New Roman" w:cs="Times New Roman"/>
                <w:lang w:val="en-US"/>
              </w:rPr>
            </w:pPr>
            <w:r w:rsidRPr="00600F21">
              <w:rPr>
                <w:rFonts w:ascii="Times New Roman" w:hAnsi="Times New Roman" w:cs="Times New Roman"/>
                <w:b/>
                <w:bCs/>
                <w:color w:val="0070C0"/>
              </w:rPr>
              <w:t>Response:</w:t>
            </w:r>
            <w:r>
              <w:rPr>
                <w:rFonts w:ascii="Times New Roman" w:hAnsi="Times New Roman" w:cs="Times New Roman"/>
                <w:b/>
                <w:bCs/>
                <w:color w:val="0070C0"/>
              </w:rPr>
              <w:t xml:space="preserve"> </w:t>
            </w:r>
            <w:r w:rsidR="001B58C5" w:rsidRPr="001B58C5">
              <w:rPr>
                <w:rFonts w:ascii="Times New Roman" w:hAnsi="Times New Roman" w:cs="Times New Roman"/>
                <w:color w:val="0070C0"/>
              </w:rPr>
              <w:t>Thank you for the reviewer’s suggestion. The title has been revised to better reflect the main contributions of the study. Minor adjustments were also made to improve academic clarity and grammatical accuracy</w:t>
            </w:r>
            <w:r w:rsidR="001B58C5">
              <w:rPr>
                <w:rFonts w:ascii="Times New Roman" w:hAnsi="Times New Roman" w:cs="Times New Roman"/>
                <w:color w:val="0070C0"/>
              </w:rPr>
              <w:t>: “</w:t>
            </w:r>
            <w:r w:rsidR="00F1626F" w:rsidRPr="00F1626F">
              <w:rPr>
                <w:rFonts w:ascii="Times New Roman" w:hAnsi="Times New Roman" w:cs="Times New Roman"/>
                <w:b/>
                <w:bCs/>
                <w:color w:val="0070C0"/>
              </w:rPr>
              <w:t>External and bank-specific determinants of Fintech adoption and its impacts: A systematic review</w:t>
            </w:r>
            <w:r w:rsidR="001B58C5">
              <w:rPr>
                <w:rFonts w:ascii="Times New Roman" w:hAnsi="Times New Roman" w:cs="Times New Roman"/>
                <w:b/>
                <w:bCs/>
                <w:color w:val="0070C0"/>
              </w:rPr>
              <w:t>”</w:t>
            </w:r>
          </w:p>
        </w:tc>
      </w:tr>
      <w:tr w:rsidR="00CA1704" w:rsidRPr="00600F21" w14:paraId="4448C3D9" w14:textId="77777777" w:rsidTr="00637523">
        <w:tc>
          <w:tcPr>
            <w:tcW w:w="5196" w:type="dxa"/>
          </w:tcPr>
          <w:p w14:paraId="289DA650" w14:textId="24A73D0D" w:rsidR="00CA1704" w:rsidRPr="00600F21" w:rsidRDefault="00CA1704" w:rsidP="00D33226">
            <w:pPr>
              <w:rPr>
                <w:rFonts w:ascii="Times New Roman" w:hAnsi="Times New Roman" w:cs="Times New Roman"/>
                <w:b/>
                <w:bCs/>
                <w:lang w:val="en-US"/>
              </w:rPr>
            </w:pPr>
            <w:r w:rsidRPr="00600F21">
              <w:rPr>
                <w:rFonts w:ascii="Times New Roman" w:hAnsi="Times New Roman" w:cs="Times New Roman"/>
                <w:b/>
                <w:bCs/>
                <w:lang w:val="en-US"/>
              </w:rPr>
              <w:t>2.</w:t>
            </w:r>
            <w:r w:rsidRPr="00600F21">
              <w:rPr>
                <w:rFonts w:ascii="Times New Roman" w:hAnsi="Times New Roman" w:cs="Times New Roman"/>
                <w:b/>
                <w:bCs/>
              </w:rPr>
              <w:t xml:space="preserve"> </w:t>
            </w:r>
            <w:r w:rsidRPr="00600F21">
              <w:rPr>
                <w:rFonts w:ascii="Times New Roman" w:hAnsi="Times New Roman" w:cs="Times New Roman"/>
                <w:b/>
                <w:bCs/>
              </w:rPr>
              <w:t>Comments and suggestions</w:t>
            </w:r>
            <w:r w:rsidRPr="00600F21">
              <w:rPr>
                <w:rFonts w:ascii="Times New Roman" w:hAnsi="Times New Roman" w:cs="Times New Roman"/>
                <w:i/>
                <w:iCs/>
              </w:rPr>
              <w:t> </w:t>
            </w:r>
          </w:p>
        </w:tc>
        <w:tc>
          <w:tcPr>
            <w:tcW w:w="4722" w:type="dxa"/>
          </w:tcPr>
          <w:p w14:paraId="430224C0" w14:textId="7ED3E285" w:rsidR="00CA1704" w:rsidRPr="00600F21" w:rsidRDefault="001B58C5" w:rsidP="00D33226">
            <w:pPr>
              <w:rPr>
                <w:rFonts w:ascii="Times New Roman" w:hAnsi="Times New Roman" w:cs="Times New Roman"/>
                <w:b/>
                <w:bCs/>
                <w:lang w:val="en-US"/>
              </w:rPr>
            </w:pPr>
            <w:r>
              <w:rPr>
                <w:rFonts w:ascii="Times New Roman" w:hAnsi="Times New Roman" w:cs="Times New Roman"/>
                <w:b/>
                <w:bCs/>
                <w:lang w:val="en-US"/>
              </w:rPr>
              <w:t xml:space="preserve">2. </w:t>
            </w:r>
            <w:r w:rsidRPr="001B58C5">
              <w:rPr>
                <w:rFonts w:ascii="Times New Roman" w:hAnsi="Times New Roman" w:cs="Times New Roman"/>
                <w:b/>
                <w:bCs/>
                <w:lang w:val="en-US"/>
              </w:rPr>
              <w:t>Add section 2.3. Impacts of Fintech adoption.</w:t>
            </w:r>
          </w:p>
        </w:tc>
      </w:tr>
      <w:tr w:rsidR="00D33226" w:rsidRPr="00600F21" w14:paraId="7F4207B6" w14:textId="77777777" w:rsidTr="00637523">
        <w:tc>
          <w:tcPr>
            <w:tcW w:w="5196" w:type="dxa"/>
          </w:tcPr>
          <w:p w14:paraId="76FE7D45" w14:textId="29B82CD3" w:rsidR="00D33226" w:rsidRPr="008A09C0" w:rsidRDefault="00CA1704" w:rsidP="00D33226">
            <w:pPr>
              <w:spacing w:after="160" w:line="278" w:lineRule="auto"/>
              <w:rPr>
                <w:rFonts w:ascii="Times New Roman" w:hAnsi="Times New Roman" w:cs="Times New Roman"/>
                <w:lang w:val="en-US"/>
              </w:rPr>
            </w:pPr>
            <w:r w:rsidRPr="00600F21">
              <w:rPr>
                <w:rFonts w:ascii="Times New Roman" w:hAnsi="Times New Roman" w:cs="Times New Roman"/>
                <w:b/>
                <w:bCs/>
                <w:lang w:val="en-US"/>
              </w:rPr>
              <w:t>a.</w:t>
            </w:r>
            <w:r w:rsidR="00D33226" w:rsidRPr="008A09C0">
              <w:rPr>
                <w:rFonts w:ascii="Times New Roman" w:hAnsi="Times New Roman" w:cs="Times New Roman"/>
                <w:b/>
                <w:bCs/>
                <w:lang w:val="en-US"/>
              </w:rPr>
              <w:t xml:space="preserve"> Clarification of the dataset and geographical distribution</w:t>
            </w:r>
          </w:p>
          <w:p w14:paraId="43F16776" w14:textId="7B37FD40" w:rsidR="00D33226" w:rsidRPr="00600F21" w:rsidRDefault="00600F21" w:rsidP="00BD7D3D">
            <w:pPr>
              <w:spacing w:after="160" w:line="278" w:lineRule="auto"/>
              <w:jc w:val="both"/>
              <w:rPr>
                <w:rFonts w:ascii="Times New Roman" w:hAnsi="Times New Roman" w:cs="Times New Roman"/>
                <w:color w:val="0070C0"/>
                <w:lang w:val="en-US"/>
              </w:rPr>
            </w:pPr>
            <w:r w:rsidRPr="00600F21">
              <w:rPr>
                <w:rFonts w:ascii="Times New Roman" w:hAnsi="Times New Roman" w:cs="Times New Roman"/>
                <w:b/>
                <w:bCs/>
                <w:color w:val="0070C0"/>
              </w:rPr>
              <w:t>Response:</w:t>
            </w:r>
            <w:r w:rsidRPr="00600F21">
              <w:rPr>
                <w:rFonts w:ascii="Times New Roman" w:hAnsi="Times New Roman" w:cs="Times New Roman"/>
                <w:color w:val="0070C0"/>
              </w:rPr>
              <w:t xml:space="preserve"> </w:t>
            </w:r>
            <w:r w:rsidR="00D33226" w:rsidRPr="008A09C0">
              <w:rPr>
                <w:rFonts w:ascii="Times New Roman" w:hAnsi="Times New Roman" w:cs="Times New Roman"/>
                <w:color w:val="0070C0"/>
                <w:lang w:val="en-US"/>
              </w:rPr>
              <w:t xml:space="preserve">Following the reviewer’s suggestion, we have clarified the geographical coverage of the reviewed studies. In particular, we added an explanation regarding the concentration of studies conducted in China and the limited number of studies from other emerging economies. The revised </w:t>
            </w:r>
            <w:r w:rsidR="00D33226" w:rsidRPr="008A09C0">
              <w:rPr>
                <w:rFonts w:ascii="Times New Roman" w:hAnsi="Times New Roman" w:cs="Times New Roman"/>
                <w:color w:val="0070C0"/>
                <w:lang w:val="en-US"/>
              </w:rPr>
              <w:lastRenderedPageBreak/>
              <w:t xml:space="preserve">manuscript now explains that this distribution largely reflects the study’s selection criteria, which include only </w:t>
            </w:r>
            <w:r w:rsidR="00D33226" w:rsidRPr="008A09C0">
              <w:rPr>
                <w:rFonts w:ascii="Times New Roman" w:hAnsi="Times New Roman" w:cs="Times New Roman"/>
                <w:b/>
                <w:bCs/>
                <w:color w:val="0070C0"/>
                <w:lang w:val="en-US"/>
              </w:rPr>
              <w:t>peer-reviewed</w:t>
            </w:r>
            <w:r w:rsidR="00D33226" w:rsidRPr="008A09C0">
              <w:rPr>
                <w:rFonts w:ascii="Times New Roman" w:hAnsi="Times New Roman" w:cs="Times New Roman"/>
                <w:color w:val="0070C0"/>
                <w:lang w:val="en-US"/>
              </w:rPr>
              <w:t xml:space="preserve"> journal articles published between </w:t>
            </w:r>
            <w:r w:rsidR="00D33226" w:rsidRPr="008A09C0">
              <w:rPr>
                <w:rFonts w:ascii="Times New Roman" w:hAnsi="Times New Roman" w:cs="Times New Roman"/>
                <w:b/>
                <w:bCs/>
                <w:color w:val="0070C0"/>
                <w:lang w:val="en-US"/>
              </w:rPr>
              <w:t>2020 and 2025</w:t>
            </w:r>
            <w:r w:rsidR="00D33226" w:rsidRPr="008A09C0">
              <w:rPr>
                <w:rFonts w:ascii="Times New Roman" w:hAnsi="Times New Roman" w:cs="Times New Roman"/>
                <w:color w:val="0070C0"/>
                <w:lang w:val="en-US"/>
              </w:rPr>
              <w:t xml:space="preserve"> that examine Fin</w:t>
            </w:r>
            <w:r w:rsidR="00CA1704" w:rsidRPr="00600F21">
              <w:rPr>
                <w:rFonts w:ascii="Times New Roman" w:hAnsi="Times New Roman" w:cs="Times New Roman"/>
                <w:color w:val="0070C0"/>
                <w:lang w:val="en-US"/>
              </w:rPr>
              <w:t>t</w:t>
            </w:r>
            <w:r w:rsidR="00D33226" w:rsidRPr="008A09C0">
              <w:rPr>
                <w:rFonts w:ascii="Times New Roman" w:hAnsi="Times New Roman" w:cs="Times New Roman"/>
                <w:color w:val="0070C0"/>
                <w:lang w:val="en-US"/>
              </w:rPr>
              <w:t xml:space="preserve">ech adoption </w:t>
            </w:r>
            <w:r w:rsidR="00D33226" w:rsidRPr="008A09C0">
              <w:rPr>
                <w:rFonts w:ascii="Times New Roman" w:hAnsi="Times New Roman" w:cs="Times New Roman"/>
                <w:b/>
                <w:bCs/>
                <w:color w:val="0070C0"/>
                <w:lang w:val="en-US"/>
              </w:rPr>
              <w:t>at the bank level</w:t>
            </w:r>
            <w:r w:rsidR="00D33226" w:rsidRPr="008A09C0">
              <w:rPr>
                <w:rFonts w:ascii="Times New Roman" w:hAnsi="Times New Roman" w:cs="Times New Roman"/>
                <w:color w:val="0070C0"/>
                <w:lang w:val="en-US"/>
              </w:rPr>
              <w:t>.</w:t>
            </w:r>
          </w:p>
          <w:p w14:paraId="74C63A02" w14:textId="77777777" w:rsidR="00CA1704" w:rsidRPr="00600F21" w:rsidRDefault="00F07313" w:rsidP="00D33226">
            <w:pPr>
              <w:spacing w:after="160" w:line="278" w:lineRule="auto"/>
              <w:rPr>
                <w:rFonts w:ascii="Times New Roman" w:hAnsi="Times New Roman" w:cs="Times New Roman"/>
                <w:lang w:val="en-US"/>
              </w:rPr>
            </w:pPr>
            <w:r w:rsidRPr="00600F21">
              <w:rPr>
                <w:rFonts w:ascii="Times New Roman" w:hAnsi="Times New Roman" w:cs="Times New Roman"/>
                <w:lang w:val="en-US"/>
              </w:rPr>
              <w:drawing>
                <wp:inline distT="0" distB="0" distL="0" distR="0" wp14:anchorId="55EB2FA2" wp14:editId="240F24A5">
                  <wp:extent cx="2533650" cy="1942845"/>
                  <wp:effectExtent l="0" t="0" r="0" b="635"/>
                  <wp:docPr id="286579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79623" name=""/>
                          <pic:cNvPicPr/>
                        </pic:nvPicPr>
                        <pic:blipFill>
                          <a:blip r:embed="rId6"/>
                          <a:stretch>
                            <a:fillRect/>
                          </a:stretch>
                        </pic:blipFill>
                        <pic:spPr>
                          <a:xfrm>
                            <a:off x="0" y="0"/>
                            <a:ext cx="2541265" cy="1948684"/>
                          </a:xfrm>
                          <a:prstGeom prst="rect">
                            <a:avLst/>
                          </a:prstGeom>
                        </pic:spPr>
                      </pic:pic>
                    </a:graphicData>
                  </a:graphic>
                </wp:inline>
              </w:drawing>
            </w:r>
          </w:p>
          <w:p w14:paraId="75369862" w14:textId="443722FA" w:rsidR="00F07313" w:rsidRPr="00600F21" w:rsidRDefault="00F07313" w:rsidP="00F07313">
            <w:pPr>
              <w:tabs>
                <w:tab w:val="left" w:pos="360"/>
              </w:tabs>
              <w:spacing w:before="120" w:after="120"/>
              <w:jc w:val="both"/>
              <w:rPr>
                <w:rFonts w:ascii="Times New Roman" w:hAnsi="Times New Roman" w:cs="Times New Roman"/>
                <w:b/>
                <w:bCs/>
                <w:color w:val="0070C0"/>
                <w:sz w:val="22"/>
                <w:szCs w:val="22"/>
                <w:lang w:val="en-US"/>
              </w:rPr>
            </w:pPr>
            <w:r w:rsidRPr="00600F21">
              <w:rPr>
                <w:rFonts w:ascii="Times New Roman" w:hAnsi="Times New Roman" w:cs="Times New Roman"/>
                <w:b/>
                <w:bCs/>
                <w:color w:val="0070C0"/>
                <w:sz w:val="22"/>
                <w:szCs w:val="22"/>
              </w:rPr>
              <w:t>4.1</w:t>
            </w:r>
            <w:r w:rsidRPr="00600F21">
              <w:rPr>
                <w:rFonts w:ascii="Times New Roman" w:hAnsi="Times New Roman" w:cs="Times New Roman"/>
                <w:b/>
                <w:bCs/>
                <w:color w:val="0070C0"/>
                <w:sz w:val="22"/>
                <w:szCs w:val="22"/>
                <w:lang w:val="en-US"/>
              </w:rPr>
              <w:t xml:space="preserve">. </w:t>
            </w:r>
            <w:r w:rsidRPr="00600F21">
              <w:rPr>
                <w:rFonts w:ascii="Times New Roman" w:hAnsi="Times New Roman" w:cs="Times New Roman"/>
                <w:b/>
                <w:bCs/>
                <w:color w:val="0070C0"/>
                <w:sz w:val="22"/>
                <w:szCs w:val="22"/>
              </w:rPr>
              <w:t>Descriptive statistics</w:t>
            </w:r>
          </w:p>
          <w:p w14:paraId="4128AFC4" w14:textId="641DEBFC" w:rsidR="00F07313" w:rsidRPr="00600F21" w:rsidRDefault="00F07313" w:rsidP="00D33226">
            <w:pPr>
              <w:spacing w:after="160" w:line="278" w:lineRule="auto"/>
              <w:rPr>
                <w:rFonts w:ascii="Times New Roman" w:hAnsi="Times New Roman" w:cs="Times New Roman"/>
                <w:lang w:val="en-US"/>
              </w:rPr>
            </w:pPr>
            <w:r w:rsidRPr="00600F21">
              <w:rPr>
                <w:rFonts w:ascii="Times New Roman" w:hAnsi="Times New Roman" w:cs="Times New Roman"/>
                <w:lang w:val="en-US"/>
              </w:rPr>
              <w:drawing>
                <wp:inline distT="0" distB="0" distL="0" distR="0" wp14:anchorId="6AF2FF3B" wp14:editId="0E1BF75B">
                  <wp:extent cx="2512523" cy="2234565"/>
                  <wp:effectExtent l="0" t="0" r="2540" b="0"/>
                  <wp:docPr id="1721726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26039" name=""/>
                          <pic:cNvPicPr/>
                        </pic:nvPicPr>
                        <pic:blipFill>
                          <a:blip r:embed="rId7"/>
                          <a:stretch>
                            <a:fillRect/>
                          </a:stretch>
                        </pic:blipFill>
                        <pic:spPr>
                          <a:xfrm>
                            <a:off x="0" y="0"/>
                            <a:ext cx="2532463" cy="2252299"/>
                          </a:xfrm>
                          <a:prstGeom prst="rect">
                            <a:avLst/>
                          </a:prstGeom>
                        </pic:spPr>
                      </pic:pic>
                    </a:graphicData>
                  </a:graphic>
                </wp:inline>
              </w:drawing>
            </w:r>
          </w:p>
        </w:tc>
        <w:tc>
          <w:tcPr>
            <w:tcW w:w="4722" w:type="dxa"/>
          </w:tcPr>
          <w:p w14:paraId="50EBC06D" w14:textId="34B4BC90" w:rsidR="00D33226" w:rsidRPr="00600F21" w:rsidRDefault="0038218F" w:rsidP="0041597E">
            <w:pPr>
              <w:spacing w:after="160" w:line="278" w:lineRule="auto"/>
              <w:rPr>
                <w:rFonts w:ascii="Times New Roman" w:hAnsi="Times New Roman" w:cs="Times New Roman"/>
                <w:lang w:val="en-US"/>
              </w:rPr>
            </w:pPr>
            <w:r w:rsidRPr="0038218F">
              <w:rPr>
                <w:rFonts w:ascii="Times New Roman" w:hAnsi="Times New Roman" w:cs="Times New Roman"/>
                <w:b/>
                <w:bCs/>
                <w:color w:val="0070C0"/>
                <w:lang w:val="en-US"/>
              </w:rPr>
              <w:lastRenderedPageBreak/>
              <w:t>Response</w:t>
            </w:r>
            <w:r w:rsidRPr="0038218F">
              <w:rPr>
                <w:rFonts w:ascii="Times New Roman" w:hAnsi="Times New Roman" w:cs="Times New Roman"/>
                <w:b/>
                <w:bCs/>
                <w:color w:val="0070C0"/>
                <w:lang w:val="en-US"/>
              </w:rPr>
              <w:t>:</w:t>
            </w:r>
            <w:r w:rsidRPr="0038218F">
              <w:rPr>
                <w:rFonts w:ascii="Times New Roman" w:hAnsi="Times New Roman" w:cs="Times New Roman"/>
                <w:color w:val="0070C0"/>
                <w:lang w:val="en-US"/>
              </w:rPr>
              <w:t xml:space="preserve"> </w:t>
            </w:r>
            <w:r w:rsidRPr="0038218F">
              <w:rPr>
                <w:rFonts w:ascii="Times New Roman" w:hAnsi="Times New Roman" w:cs="Times New Roman"/>
                <w:color w:val="0070C0"/>
                <w:lang w:val="en-US"/>
              </w:rPr>
              <w:t>Thank you for the reviewer’s suggestion. A new subsection 2.3. Impacts of Fin</w:t>
            </w:r>
            <w:r w:rsidRPr="0038218F">
              <w:rPr>
                <w:rFonts w:ascii="Times New Roman" w:hAnsi="Times New Roman" w:cs="Times New Roman"/>
                <w:color w:val="0070C0"/>
                <w:lang w:val="en-US"/>
              </w:rPr>
              <w:t>t</w:t>
            </w:r>
            <w:r w:rsidRPr="0038218F">
              <w:rPr>
                <w:rFonts w:ascii="Times New Roman" w:hAnsi="Times New Roman" w:cs="Times New Roman"/>
                <w:color w:val="0070C0"/>
                <w:lang w:val="en-US"/>
              </w:rPr>
              <w:t xml:space="preserve">ech adoption has been added </w:t>
            </w:r>
          </w:p>
        </w:tc>
      </w:tr>
      <w:tr w:rsidR="00D33226" w:rsidRPr="00600F21" w14:paraId="1B71AA3A" w14:textId="77777777" w:rsidTr="00637523">
        <w:tc>
          <w:tcPr>
            <w:tcW w:w="5196" w:type="dxa"/>
          </w:tcPr>
          <w:p w14:paraId="2869FA88" w14:textId="13F35B1D" w:rsidR="00D33226" w:rsidRPr="008A09C0" w:rsidRDefault="00F07313" w:rsidP="00D33226">
            <w:pPr>
              <w:spacing w:after="160" w:line="278" w:lineRule="auto"/>
              <w:rPr>
                <w:rFonts w:ascii="Times New Roman" w:hAnsi="Times New Roman" w:cs="Times New Roman"/>
                <w:lang w:val="en-US"/>
              </w:rPr>
            </w:pPr>
            <w:r w:rsidRPr="00600F21">
              <w:rPr>
                <w:rFonts w:ascii="Times New Roman" w:hAnsi="Times New Roman" w:cs="Times New Roman"/>
                <w:b/>
                <w:bCs/>
                <w:lang w:val="en-US"/>
              </w:rPr>
              <w:t>b</w:t>
            </w:r>
            <w:r w:rsidR="00D33226" w:rsidRPr="008A09C0">
              <w:rPr>
                <w:rFonts w:ascii="Times New Roman" w:hAnsi="Times New Roman" w:cs="Times New Roman"/>
                <w:b/>
                <w:bCs/>
                <w:lang w:val="en-US"/>
              </w:rPr>
              <w:t>. Explanation of the time period of the dataset</w:t>
            </w:r>
          </w:p>
          <w:p w14:paraId="62E01B8E" w14:textId="3719FE27" w:rsidR="00D33226" w:rsidRPr="00600F21" w:rsidRDefault="00600F21" w:rsidP="00600F21">
            <w:pPr>
              <w:spacing w:after="160" w:line="278" w:lineRule="auto"/>
              <w:jc w:val="both"/>
              <w:rPr>
                <w:rFonts w:ascii="Times New Roman" w:hAnsi="Times New Roman" w:cs="Times New Roman"/>
                <w:color w:val="0070C0"/>
                <w:lang w:val="en-US"/>
              </w:rPr>
            </w:pPr>
            <w:r w:rsidRPr="00600F21">
              <w:rPr>
                <w:rFonts w:ascii="Times New Roman" w:hAnsi="Times New Roman" w:cs="Times New Roman"/>
                <w:b/>
                <w:bCs/>
                <w:color w:val="0070C0"/>
              </w:rPr>
              <w:t>Response:</w:t>
            </w:r>
            <w:r w:rsidRPr="00600F21">
              <w:rPr>
                <w:rFonts w:ascii="Times New Roman" w:hAnsi="Times New Roman" w:cs="Times New Roman"/>
                <w:color w:val="0070C0"/>
              </w:rPr>
              <w:t xml:space="preserve"> </w:t>
            </w:r>
            <w:r w:rsidR="00D33226" w:rsidRPr="008A09C0">
              <w:rPr>
                <w:rFonts w:ascii="Times New Roman" w:hAnsi="Times New Roman" w:cs="Times New Roman"/>
                <w:color w:val="0070C0"/>
                <w:lang w:val="en-US"/>
              </w:rPr>
              <w:t>We have clarified the rationale for focusing on studies published between 2020 and 2025. This period reflects the phase in which FinTech adoption in banking accelerated significantly, particularly after the expansion of digital financial services during the early 2020s</w:t>
            </w:r>
            <w:r w:rsidR="00E32521" w:rsidRPr="00600F21">
              <w:rPr>
                <w:rFonts w:ascii="Times New Roman" w:hAnsi="Times New Roman" w:cs="Times New Roman"/>
                <w:color w:val="0070C0"/>
                <w:lang w:val="en-US"/>
              </w:rPr>
              <w:t xml:space="preserve"> (section 3.5)</w:t>
            </w:r>
          </w:p>
          <w:p w14:paraId="232EC376" w14:textId="4A8E0674" w:rsidR="00E32521" w:rsidRPr="00600F21" w:rsidRDefault="00E32521" w:rsidP="00D33226">
            <w:pPr>
              <w:spacing w:after="160" w:line="278" w:lineRule="auto"/>
              <w:rPr>
                <w:rFonts w:ascii="Times New Roman" w:hAnsi="Times New Roman" w:cs="Times New Roman"/>
                <w:lang w:val="en-US"/>
              </w:rPr>
            </w:pPr>
            <w:r w:rsidRPr="00600F21">
              <w:rPr>
                <w:rFonts w:ascii="Times New Roman" w:hAnsi="Times New Roman" w:cs="Times New Roman"/>
                <w:lang w:val="en-US"/>
              </w:rPr>
              <w:drawing>
                <wp:inline distT="0" distB="0" distL="0" distR="0" wp14:anchorId="459A713F" wp14:editId="50F7674F">
                  <wp:extent cx="2286000" cy="1752942"/>
                  <wp:effectExtent l="0" t="0" r="0" b="0"/>
                  <wp:docPr id="1197592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79623" name=""/>
                          <pic:cNvPicPr/>
                        </pic:nvPicPr>
                        <pic:blipFill>
                          <a:blip r:embed="rId6"/>
                          <a:stretch>
                            <a:fillRect/>
                          </a:stretch>
                        </pic:blipFill>
                        <pic:spPr>
                          <a:xfrm>
                            <a:off x="0" y="0"/>
                            <a:ext cx="2291140" cy="1756884"/>
                          </a:xfrm>
                          <a:prstGeom prst="rect">
                            <a:avLst/>
                          </a:prstGeom>
                        </pic:spPr>
                      </pic:pic>
                    </a:graphicData>
                  </a:graphic>
                </wp:inline>
              </w:drawing>
            </w:r>
          </w:p>
        </w:tc>
        <w:tc>
          <w:tcPr>
            <w:tcW w:w="4722" w:type="dxa"/>
          </w:tcPr>
          <w:p w14:paraId="608033FE" w14:textId="1B2AA52B" w:rsidR="0041597E" w:rsidRPr="0041597E" w:rsidRDefault="0041597E" w:rsidP="0041597E">
            <w:pPr>
              <w:rPr>
                <w:rFonts w:ascii="Times New Roman" w:hAnsi="Times New Roman" w:cs="Times New Roman"/>
                <w:b/>
                <w:bCs/>
                <w:lang w:val="en-US"/>
              </w:rPr>
            </w:pPr>
            <w:r>
              <w:rPr>
                <w:rFonts w:ascii="Times New Roman" w:hAnsi="Times New Roman" w:cs="Times New Roman"/>
                <w:b/>
                <w:bCs/>
                <w:lang w:val="en-US"/>
              </w:rPr>
              <w:t>3.</w:t>
            </w:r>
            <w:r w:rsidRPr="0041597E">
              <w:rPr>
                <w:rFonts w:ascii="Times New Roman" w:hAnsi="Times New Roman" w:cs="Times New Roman"/>
                <w:b/>
                <w:bCs/>
                <w:lang w:val="en-US"/>
              </w:rPr>
              <w:t xml:space="preserve">Restructure Figure 2. </w:t>
            </w:r>
          </w:p>
          <w:p w14:paraId="4B308512" w14:textId="28F52C53" w:rsidR="0041597E" w:rsidRDefault="0041597E" w:rsidP="0041597E">
            <w:pPr>
              <w:spacing w:after="160" w:line="278" w:lineRule="auto"/>
              <w:jc w:val="both"/>
              <w:rPr>
                <w:rFonts w:ascii="Times New Roman" w:hAnsi="Times New Roman" w:cs="Times New Roman"/>
                <w:color w:val="0070C0"/>
                <w:lang w:val="en-US"/>
              </w:rPr>
            </w:pPr>
            <w:r w:rsidRPr="00600F21">
              <w:rPr>
                <w:rFonts w:ascii="Times New Roman" w:hAnsi="Times New Roman" w:cs="Times New Roman"/>
                <w:b/>
                <w:bCs/>
                <w:color w:val="0070C0"/>
              </w:rPr>
              <w:t>Response:</w:t>
            </w:r>
            <w:r w:rsidRPr="00600F21">
              <w:rPr>
                <w:rFonts w:ascii="Times New Roman" w:hAnsi="Times New Roman" w:cs="Times New Roman"/>
                <w:color w:val="0070C0"/>
              </w:rPr>
              <w:t xml:space="preserve"> </w:t>
            </w:r>
          </w:p>
          <w:p w14:paraId="1A7D4084" w14:textId="77777777" w:rsidR="0038218F" w:rsidRPr="0038218F" w:rsidRDefault="0038218F" w:rsidP="0038218F">
            <w:pPr>
              <w:jc w:val="both"/>
              <w:rPr>
                <w:rFonts w:ascii="Times New Roman" w:hAnsi="Times New Roman" w:cs="Times New Roman"/>
                <w:color w:val="0070C0"/>
              </w:rPr>
            </w:pPr>
            <w:r w:rsidRPr="0038218F">
              <w:rPr>
                <w:rFonts w:ascii="Times New Roman" w:hAnsi="Times New Roman" w:cs="Times New Roman"/>
                <w:color w:val="0070C0"/>
              </w:rPr>
              <w:t>Following the reviewer’s suggestion, we revised Figure 2 to better reflect the relationships between external determinants, bank-specific determinants, FinTech adoption, and its impacts. In addition, the description of the conceptual framework has been refined to ensure consistency with the revised figure.</w:t>
            </w:r>
          </w:p>
          <w:p w14:paraId="5220CFF5" w14:textId="77777777" w:rsidR="0038218F" w:rsidRPr="0038218F" w:rsidRDefault="0038218F" w:rsidP="0038218F">
            <w:pPr>
              <w:jc w:val="both"/>
              <w:rPr>
                <w:rFonts w:ascii="Times New Roman" w:hAnsi="Times New Roman" w:cs="Times New Roman"/>
                <w:color w:val="0070C0"/>
              </w:rPr>
            </w:pPr>
          </w:p>
          <w:p w14:paraId="540D4089" w14:textId="2E96AC4F" w:rsidR="00D33226" w:rsidRPr="0038218F" w:rsidRDefault="0038218F" w:rsidP="0038218F">
            <w:pPr>
              <w:spacing w:after="160" w:line="278" w:lineRule="auto"/>
              <w:jc w:val="both"/>
              <w:rPr>
                <w:rFonts w:ascii="Times New Roman" w:hAnsi="Times New Roman" w:cs="Times New Roman"/>
                <w:color w:val="0070C0"/>
              </w:rPr>
            </w:pPr>
            <w:r w:rsidRPr="0038218F">
              <w:rPr>
                <w:rFonts w:ascii="Times New Roman" w:hAnsi="Times New Roman" w:cs="Times New Roman"/>
                <w:color w:val="0070C0"/>
              </w:rPr>
              <w:t>Section 4.2 has also been revised to improve the discussion of the theoretical frameworks used in the literature, including TOE, RBV, agency theory, and institutional theory. The revised section now aligns more closely with the classification presented in Table 2.</w:t>
            </w:r>
          </w:p>
        </w:tc>
      </w:tr>
      <w:tr w:rsidR="00E32521" w:rsidRPr="00600F21" w14:paraId="24834AF8" w14:textId="77777777" w:rsidTr="00637523">
        <w:tc>
          <w:tcPr>
            <w:tcW w:w="5196" w:type="dxa"/>
          </w:tcPr>
          <w:p w14:paraId="5115C114" w14:textId="77777777" w:rsidR="00E32521" w:rsidRDefault="00600F21" w:rsidP="00E32521">
            <w:pPr>
              <w:spacing w:after="160" w:line="278" w:lineRule="auto"/>
              <w:rPr>
                <w:rFonts w:ascii="Times New Roman" w:hAnsi="Times New Roman" w:cs="Times New Roman"/>
                <w:b/>
                <w:bCs/>
              </w:rPr>
            </w:pPr>
            <w:r w:rsidRPr="00600F21">
              <w:rPr>
                <w:rFonts w:ascii="Times New Roman" w:hAnsi="Times New Roman" w:cs="Times New Roman"/>
                <w:b/>
                <w:bCs/>
                <w:lang w:val="en-US"/>
              </w:rPr>
              <w:t>c</w:t>
            </w:r>
            <w:r w:rsidRPr="00600F21">
              <w:rPr>
                <w:rFonts w:ascii="Times New Roman" w:hAnsi="Times New Roman" w:cs="Times New Roman"/>
                <w:lang w:val="en-US"/>
              </w:rPr>
              <w:t xml:space="preserve">. </w:t>
            </w:r>
            <w:r w:rsidRPr="00600F21">
              <w:rPr>
                <w:rFonts w:ascii="Times New Roman" w:hAnsi="Times New Roman" w:cs="Times New Roman"/>
                <w:b/>
                <w:bCs/>
              </w:rPr>
              <w:t>Consider incorporating quantitative synthesis methods (e.g., meta-analysis) to strengthen the robustness of the findings.</w:t>
            </w:r>
          </w:p>
          <w:p w14:paraId="729C4078" w14:textId="3D8D141C" w:rsidR="00600F21" w:rsidRPr="00600F21" w:rsidRDefault="00600F21" w:rsidP="00600F21">
            <w:pPr>
              <w:spacing w:after="160" w:line="278" w:lineRule="auto"/>
              <w:jc w:val="both"/>
              <w:rPr>
                <w:rFonts w:ascii="Times New Roman" w:hAnsi="Times New Roman" w:cs="Times New Roman"/>
                <w:lang w:val="en-US"/>
              </w:rPr>
            </w:pPr>
            <w:r w:rsidRPr="00600F21">
              <w:rPr>
                <w:rFonts w:ascii="Times New Roman" w:hAnsi="Times New Roman" w:cs="Times New Roman"/>
                <w:b/>
                <w:bCs/>
                <w:color w:val="0070C0"/>
              </w:rPr>
              <w:t>Response:</w:t>
            </w:r>
            <w:r w:rsidRPr="00600F21">
              <w:rPr>
                <w:rFonts w:ascii="Times New Roman" w:hAnsi="Times New Roman" w:cs="Times New Roman"/>
                <w:color w:val="0070C0"/>
              </w:rPr>
              <w:t xml:space="preserve"> We appreciate the reviewer’s valuable suggestion. However, the number of eligible studies included in the review remains relatively limited, which does not yet meet the conditions required for applying quantitative synthesis methods such as meta-analysis. We have therefore incorporated this suggestion as a potential direction for future research in the revised manuscript.</w:t>
            </w:r>
          </w:p>
        </w:tc>
        <w:tc>
          <w:tcPr>
            <w:tcW w:w="4722" w:type="dxa"/>
          </w:tcPr>
          <w:p w14:paraId="50947375" w14:textId="38B92BB5" w:rsidR="0041597E" w:rsidRDefault="0041597E" w:rsidP="00E32521">
            <w:pPr>
              <w:spacing w:after="160" w:line="278" w:lineRule="auto"/>
              <w:rPr>
                <w:rFonts w:ascii="Times New Roman" w:hAnsi="Times New Roman" w:cs="Times New Roman"/>
                <w:b/>
                <w:bCs/>
                <w:lang w:val="en-US"/>
              </w:rPr>
            </w:pPr>
            <w:r>
              <w:rPr>
                <w:rFonts w:ascii="Times New Roman" w:hAnsi="Times New Roman" w:cs="Times New Roman"/>
                <w:b/>
                <w:bCs/>
                <w:lang w:val="en-US"/>
              </w:rPr>
              <w:t xml:space="preserve">4. Correct </w:t>
            </w:r>
            <w:r w:rsidRPr="0041597E">
              <w:rPr>
                <w:rFonts w:ascii="Times New Roman" w:hAnsi="Times New Roman" w:cs="Times New Roman"/>
                <w:b/>
                <w:bCs/>
                <w:lang w:val="en-US"/>
              </w:rPr>
              <w:t>Table 2</w:t>
            </w:r>
            <w:r>
              <w:rPr>
                <w:rFonts w:ascii="Times New Roman" w:hAnsi="Times New Roman" w:cs="Times New Roman"/>
                <w:b/>
                <w:bCs/>
                <w:lang w:val="en-US"/>
              </w:rPr>
              <w:t>, row 2</w:t>
            </w:r>
          </w:p>
          <w:p w14:paraId="3B9B54ED" w14:textId="16FCE87A" w:rsidR="0041597E" w:rsidRPr="00637523" w:rsidRDefault="0041597E" w:rsidP="00637523">
            <w:pPr>
              <w:spacing w:after="160" w:line="278" w:lineRule="auto"/>
              <w:jc w:val="both"/>
              <w:rPr>
                <w:rFonts w:ascii="Times New Roman" w:hAnsi="Times New Roman" w:cs="Times New Roman"/>
                <w:lang w:val="en-US"/>
              </w:rPr>
            </w:pPr>
            <w:r w:rsidRPr="00600F21">
              <w:rPr>
                <w:rFonts w:ascii="Times New Roman" w:hAnsi="Times New Roman" w:cs="Times New Roman"/>
                <w:b/>
                <w:bCs/>
                <w:color w:val="0070C0"/>
              </w:rPr>
              <w:t>Response:</w:t>
            </w:r>
            <w:r w:rsidR="00637523">
              <w:t xml:space="preserve"> </w:t>
            </w:r>
            <w:r w:rsidR="00637523" w:rsidRPr="00637523">
              <w:rPr>
                <w:rFonts w:ascii="Times New Roman" w:hAnsi="Times New Roman" w:cs="Times New Roman"/>
                <w:color w:val="0070C0"/>
              </w:rPr>
              <w:t xml:space="preserve">Thank you </w:t>
            </w:r>
            <w:r w:rsidR="00637523">
              <w:rPr>
                <w:rFonts w:ascii="Times New Roman" w:hAnsi="Times New Roman" w:cs="Times New Roman"/>
                <w:color w:val="0070C0"/>
              </w:rPr>
              <w:t>very much</w:t>
            </w:r>
            <w:r w:rsidR="00637523" w:rsidRPr="00637523">
              <w:rPr>
                <w:rFonts w:ascii="Times New Roman" w:hAnsi="Times New Roman" w:cs="Times New Roman"/>
                <w:color w:val="0070C0"/>
              </w:rPr>
              <w:t>. The information in Table 2 has been carefully reviewed and corrected</w:t>
            </w:r>
            <w:r w:rsidR="00637523">
              <w:rPr>
                <w:rFonts w:ascii="Times New Roman" w:hAnsi="Times New Roman" w:cs="Times New Roman"/>
                <w:color w:val="0070C0"/>
              </w:rPr>
              <w:t>.</w:t>
            </w:r>
          </w:p>
          <w:p w14:paraId="2EFCA59A" w14:textId="14250A4A" w:rsidR="00EB3AF8" w:rsidRPr="00600F21" w:rsidRDefault="00EB3AF8" w:rsidP="00EB3AF8">
            <w:pPr>
              <w:spacing w:after="160" w:line="278" w:lineRule="auto"/>
              <w:rPr>
                <w:rFonts w:ascii="Times New Roman" w:hAnsi="Times New Roman" w:cs="Times New Roman"/>
                <w:lang w:val="en-US"/>
              </w:rPr>
            </w:pPr>
          </w:p>
          <w:p w14:paraId="6F622DC8" w14:textId="057477DC" w:rsidR="00E32521" w:rsidRPr="00600F21" w:rsidRDefault="00E32521" w:rsidP="00E32521">
            <w:pPr>
              <w:spacing w:after="160" w:line="278" w:lineRule="auto"/>
              <w:rPr>
                <w:rFonts w:ascii="Times New Roman" w:hAnsi="Times New Roman" w:cs="Times New Roman"/>
                <w:lang w:val="en-US"/>
              </w:rPr>
            </w:pPr>
          </w:p>
        </w:tc>
      </w:tr>
      <w:tr w:rsidR="00E32521" w:rsidRPr="00600F21" w14:paraId="2BDF4C22" w14:textId="77777777" w:rsidTr="00637523">
        <w:tc>
          <w:tcPr>
            <w:tcW w:w="5196" w:type="dxa"/>
          </w:tcPr>
          <w:p w14:paraId="243137DD" w14:textId="77777777" w:rsidR="00E32521" w:rsidRPr="00600F21" w:rsidRDefault="00BD7D3D" w:rsidP="002A76BB">
            <w:pPr>
              <w:spacing w:after="160" w:line="278" w:lineRule="auto"/>
              <w:jc w:val="both"/>
              <w:rPr>
                <w:rFonts w:ascii="Times New Roman" w:hAnsi="Times New Roman" w:cs="Times New Roman"/>
              </w:rPr>
            </w:pPr>
            <w:r w:rsidRPr="00600F21">
              <w:rPr>
                <w:rFonts w:ascii="Times New Roman" w:hAnsi="Times New Roman" w:cs="Times New Roman"/>
                <w:b/>
                <w:bCs/>
                <w:lang w:val="en-US"/>
              </w:rPr>
              <w:t>d.</w:t>
            </w:r>
            <w:r w:rsidRPr="008A09C0">
              <w:rPr>
                <w:rFonts w:ascii="Times New Roman" w:hAnsi="Times New Roman" w:cs="Times New Roman"/>
                <w:b/>
                <w:bCs/>
                <w:lang w:val="en-US"/>
              </w:rPr>
              <w:t xml:space="preserve"> </w:t>
            </w:r>
            <w:r w:rsidRPr="00600F21">
              <w:rPr>
                <w:rFonts w:ascii="Times New Roman" w:hAnsi="Times New Roman" w:cs="Times New Roman"/>
                <w:b/>
                <w:bCs/>
              </w:rPr>
              <w:t>Minor revisions:</w:t>
            </w:r>
            <w:r w:rsidRPr="00600F21">
              <w:rPr>
                <w:rFonts w:ascii="Times New Roman" w:hAnsi="Times New Roman" w:cs="Times New Roman"/>
              </w:rPr>
              <w:t xml:space="preserve"> Standardize table captions; ensure high resolution for all figures (including the PRISMA flow diagram and conceptual framework); maintain consistency in the Vietnamese abstract translation.</w:t>
            </w:r>
          </w:p>
          <w:p w14:paraId="5BDFC291" w14:textId="6F47C339" w:rsidR="00BD7D3D" w:rsidRPr="00600F21" w:rsidRDefault="002A76BB" w:rsidP="00731F4C">
            <w:pPr>
              <w:spacing w:after="160" w:line="278" w:lineRule="auto"/>
              <w:jc w:val="both"/>
              <w:rPr>
                <w:rFonts w:ascii="Times New Roman" w:hAnsi="Times New Roman" w:cs="Times New Roman"/>
                <w:lang w:val="en-US"/>
              </w:rPr>
            </w:pPr>
            <w:r w:rsidRPr="00600F21">
              <w:rPr>
                <w:rFonts w:ascii="Times New Roman" w:hAnsi="Times New Roman" w:cs="Times New Roman"/>
                <w:b/>
                <w:bCs/>
                <w:color w:val="0070C0"/>
              </w:rPr>
              <w:t>Response:</w:t>
            </w:r>
            <w:r>
              <w:t xml:space="preserve"> </w:t>
            </w:r>
            <w:r w:rsidR="00BD7D3D" w:rsidRPr="00600F21">
              <w:rPr>
                <w:rFonts w:ascii="Times New Roman" w:hAnsi="Times New Roman" w:cs="Times New Roman"/>
                <w:color w:val="0070C0"/>
              </w:rPr>
              <w:t>We have standardized the table captions across the manuscript, improved the resolution of all figures (including the PRISMA flow diagram and the conceptual framework), and revised the Vietnamese abstract to ensure consistency with the English abstract.</w:t>
            </w:r>
          </w:p>
        </w:tc>
        <w:tc>
          <w:tcPr>
            <w:tcW w:w="4722" w:type="dxa"/>
          </w:tcPr>
          <w:p w14:paraId="3238108A" w14:textId="6C086E01" w:rsidR="00E32521" w:rsidRPr="00600F21" w:rsidRDefault="00E32521" w:rsidP="00EB3AF8">
            <w:pPr>
              <w:rPr>
                <w:rFonts w:ascii="Times New Roman" w:hAnsi="Times New Roman" w:cs="Times New Roman"/>
                <w:lang w:val="en-US"/>
              </w:rPr>
            </w:pPr>
          </w:p>
        </w:tc>
      </w:tr>
    </w:tbl>
    <w:p w14:paraId="6A24FD83" w14:textId="77777777" w:rsidR="00D33226" w:rsidRPr="008A09C0" w:rsidRDefault="00D33226" w:rsidP="008A09C0">
      <w:pPr>
        <w:rPr>
          <w:rFonts w:ascii="Times New Roman" w:hAnsi="Times New Roman" w:cs="Times New Roman"/>
          <w:lang w:val="en-US"/>
        </w:rPr>
      </w:pPr>
    </w:p>
    <w:sectPr w:rsidR="00D33226" w:rsidRPr="008A09C0" w:rsidSect="002A76BB">
      <w:pgSz w:w="12240" w:h="15840"/>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6A0"/>
    <w:multiLevelType w:val="hybridMultilevel"/>
    <w:tmpl w:val="2550F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32D9F"/>
    <w:multiLevelType w:val="hybridMultilevel"/>
    <w:tmpl w:val="ADB22322"/>
    <w:lvl w:ilvl="0" w:tplc="2F4036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C7F3F"/>
    <w:multiLevelType w:val="hybridMultilevel"/>
    <w:tmpl w:val="C052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02831">
    <w:abstractNumId w:val="2"/>
  </w:num>
  <w:num w:numId="2" w16cid:durableId="1258634971">
    <w:abstractNumId w:val="1"/>
  </w:num>
  <w:num w:numId="3" w16cid:durableId="15291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C0"/>
    <w:rsid w:val="00096E0E"/>
    <w:rsid w:val="00190CAA"/>
    <w:rsid w:val="001B58C5"/>
    <w:rsid w:val="0029241C"/>
    <w:rsid w:val="002A76BB"/>
    <w:rsid w:val="00364B61"/>
    <w:rsid w:val="0038218F"/>
    <w:rsid w:val="003E44E1"/>
    <w:rsid w:val="0041597E"/>
    <w:rsid w:val="0048052D"/>
    <w:rsid w:val="004907D1"/>
    <w:rsid w:val="005670F4"/>
    <w:rsid w:val="005C0C4D"/>
    <w:rsid w:val="00600F21"/>
    <w:rsid w:val="00637523"/>
    <w:rsid w:val="00731F4C"/>
    <w:rsid w:val="008A09C0"/>
    <w:rsid w:val="0091451F"/>
    <w:rsid w:val="009725C0"/>
    <w:rsid w:val="009E1A33"/>
    <w:rsid w:val="00A23502"/>
    <w:rsid w:val="00A26188"/>
    <w:rsid w:val="00A71B73"/>
    <w:rsid w:val="00A72FCD"/>
    <w:rsid w:val="00A76DE8"/>
    <w:rsid w:val="00AD12B5"/>
    <w:rsid w:val="00BD7D3D"/>
    <w:rsid w:val="00BF28D2"/>
    <w:rsid w:val="00C82C68"/>
    <w:rsid w:val="00CA1704"/>
    <w:rsid w:val="00CD1B4F"/>
    <w:rsid w:val="00CF0F1A"/>
    <w:rsid w:val="00D33226"/>
    <w:rsid w:val="00D867DC"/>
    <w:rsid w:val="00E32521"/>
    <w:rsid w:val="00E90D26"/>
    <w:rsid w:val="00EB3AF8"/>
    <w:rsid w:val="00ED1789"/>
    <w:rsid w:val="00F07313"/>
    <w:rsid w:val="00F07604"/>
    <w:rsid w:val="00F1626F"/>
    <w:rsid w:val="00F3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E360"/>
  <w15:chartTrackingRefBased/>
  <w15:docId w15:val="{6DDFA5BC-291E-4B46-B8B9-F25444AC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A0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9C0"/>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8A09C0"/>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8A09C0"/>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8A09C0"/>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8A09C0"/>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8A09C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A09C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A09C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A09C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A0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9C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A0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9C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A09C0"/>
    <w:pPr>
      <w:spacing w:before="160"/>
      <w:jc w:val="center"/>
    </w:pPr>
    <w:rPr>
      <w:i/>
      <w:iCs/>
      <w:color w:val="404040" w:themeColor="text1" w:themeTint="BF"/>
    </w:rPr>
  </w:style>
  <w:style w:type="character" w:customStyle="1" w:styleId="QuoteChar">
    <w:name w:val="Quote Char"/>
    <w:basedOn w:val="DefaultParagraphFont"/>
    <w:link w:val="Quote"/>
    <w:uiPriority w:val="29"/>
    <w:rsid w:val="008A09C0"/>
    <w:rPr>
      <w:i/>
      <w:iCs/>
      <w:color w:val="404040" w:themeColor="text1" w:themeTint="BF"/>
      <w:lang w:val="en-GB"/>
    </w:rPr>
  </w:style>
  <w:style w:type="paragraph" w:styleId="ListParagraph">
    <w:name w:val="List Paragraph"/>
    <w:basedOn w:val="Normal"/>
    <w:uiPriority w:val="34"/>
    <w:qFormat/>
    <w:rsid w:val="008A09C0"/>
    <w:pPr>
      <w:ind w:left="720"/>
      <w:contextualSpacing/>
    </w:pPr>
  </w:style>
  <w:style w:type="character" w:styleId="IntenseEmphasis">
    <w:name w:val="Intense Emphasis"/>
    <w:basedOn w:val="DefaultParagraphFont"/>
    <w:uiPriority w:val="21"/>
    <w:qFormat/>
    <w:rsid w:val="008A09C0"/>
    <w:rPr>
      <w:i/>
      <w:iCs/>
      <w:color w:val="2F5496" w:themeColor="accent1" w:themeShade="BF"/>
    </w:rPr>
  </w:style>
  <w:style w:type="paragraph" w:styleId="IntenseQuote">
    <w:name w:val="Intense Quote"/>
    <w:basedOn w:val="Normal"/>
    <w:next w:val="Normal"/>
    <w:link w:val="IntenseQuoteChar"/>
    <w:uiPriority w:val="30"/>
    <w:qFormat/>
    <w:rsid w:val="008A0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9C0"/>
    <w:rPr>
      <w:i/>
      <w:iCs/>
      <w:color w:val="2F5496" w:themeColor="accent1" w:themeShade="BF"/>
      <w:lang w:val="en-GB"/>
    </w:rPr>
  </w:style>
  <w:style w:type="character" w:styleId="IntenseReference">
    <w:name w:val="Intense Reference"/>
    <w:basedOn w:val="DefaultParagraphFont"/>
    <w:uiPriority w:val="32"/>
    <w:qFormat/>
    <w:rsid w:val="008A09C0"/>
    <w:rPr>
      <w:b/>
      <w:bCs/>
      <w:smallCaps/>
      <w:color w:val="2F5496" w:themeColor="accent1" w:themeShade="BF"/>
      <w:spacing w:val="5"/>
    </w:rPr>
  </w:style>
  <w:style w:type="table" w:styleId="TableGrid">
    <w:name w:val="Table Grid"/>
    <w:basedOn w:val="TableNormal"/>
    <w:uiPriority w:val="39"/>
    <w:rsid w:val="00D3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Pham</dc:creator>
  <cp:keywords/>
  <dc:description/>
  <cp:lastModifiedBy>Hang Pham</cp:lastModifiedBy>
  <cp:revision>1</cp:revision>
  <dcterms:created xsi:type="dcterms:W3CDTF">2026-03-12T08:21:00Z</dcterms:created>
  <dcterms:modified xsi:type="dcterms:W3CDTF">2026-03-12T09:07:00Z</dcterms:modified>
</cp:coreProperties>
</file>