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1168A" w14:textId="21EA32D4" w:rsidR="00454ECC" w:rsidRPr="00B83F50" w:rsidRDefault="00B54F30" w:rsidP="00367163">
      <w:pPr>
        <w:spacing w:before="0" w:after="0" w:line="360" w:lineRule="auto"/>
        <w:jc w:val="center"/>
        <w:rPr>
          <w:rFonts w:cs="Times New Roman"/>
          <w:b/>
          <w:shd w:val="clear" w:color="auto" w:fill="FFFFFF"/>
        </w:rPr>
      </w:pPr>
      <w:r>
        <w:rPr>
          <w:rFonts w:cs="Times New Roman"/>
          <w:b/>
          <w:shd w:val="clear" w:color="auto" w:fill="FFFFFF"/>
        </w:rPr>
        <w:t>BẢNG TRẢ LỜI Ý KIẾN PHẢN BIỆN</w:t>
      </w:r>
    </w:p>
    <w:p w14:paraId="074EC41C" w14:textId="5F8FCCC2" w:rsidR="00454ECC" w:rsidRPr="00B83F50" w:rsidRDefault="00B54F30" w:rsidP="00367163">
      <w:pPr>
        <w:spacing w:before="0" w:after="0" w:line="360" w:lineRule="auto"/>
        <w:rPr>
          <w:rFonts w:cs="Times New Roman"/>
          <w:b/>
        </w:rPr>
      </w:pPr>
      <w:r>
        <w:rPr>
          <w:rFonts w:cs="Times New Roman"/>
          <w:b/>
        </w:rPr>
        <w:t xml:space="preserve">Phản biện </w:t>
      </w:r>
      <w:r w:rsidR="00454ECC" w:rsidRPr="00B83F50">
        <w:rPr>
          <w:rFonts w:cs="Times New Roman"/>
          <w:b/>
        </w:rPr>
        <w:t>2</w:t>
      </w:r>
    </w:p>
    <w:tbl>
      <w:tblPr>
        <w:tblStyle w:val="TableGrid"/>
        <w:tblW w:w="9493" w:type="dxa"/>
        <w:jc w:val="center"/>
        <w:tblLook w:val="04A0" w:firstRow="1" w:lastRow="0" w:firstColumn="1" w:lastColumn="0" w:noHBand="0" w:noVBand="1"/>
      </w:tblPr>
      <w:tblGrid>
        <w:gridCol w:w="4586"/>
        <w:gridCol w:w="3783"/>
        <w:gridCol w:w="1124"/>
      </w:tblGrid>
      <w:tr w:rsidR="00B54F30" w:rsidRPr="00A438FF" w14:paraId="1B5E20C9" w14:textId="77777777" w:rsidTr="00D91D8E">
        <w:trPr>
          <w:jc w:val="center"/>
        </w:trPr>
        <w:tc>
          <w:tcPr>
            <w:tcW w:w="4586" w:type="dxa"/>
          </w:tcPr>
          <w:p w14:paraId="73C61B85" w14:textId="56D7399C" w:rsidR="00B54F30" w:rsidRPr="00A438FF" w:rsidRDefault="00B54F30" w:rsidP="00A438FF">
            <w:pPr>
              <w:spacing w:before="0" w:after="0" w:line="312" w:lineRule="auto"/>
              <w:jc w:val="center"/>
              <w:rPr>
                <w:b/>
                <w:szCs w:val="26"/>
              </w:rPr>
            </w:pPr>
            <w:r w:rsidRPr="00A438FF">
              <w:rPr>
                <w:b/>
                <w:szCs w:val="26"/>
              </w:rPr>
              <w:t>Đề xuất chỉnh sửa</w:t>
            </w:r>
          </w:p>
        </w:tc>
        <w:tc>
          <w:tcPr>
            <w:tcW w:w="3783" w:type="dxa"/>
          </w:tcPr>
          <w:p w14:paraId="121AA3BF" w14:textId="71A5F564" w:rsidR="00B54F30" w:rsidRPr="00A438FF" w:rsidRDefault="00B54F30" w:rsidP="00A438FF">
            <w:pPr>
              <w:spacing w:before="0" w:after="0" w:line="312" w:lineRule="auto"/>
              <w:jc w:val="center"/>
              <w:rPr>
                <w:b/>
                <w:szCs w:val="26"/>
              </w:rPr>
            </w:pPr>
            <w:r w:rsidRPr="00A438FF">
              <w:rPr>
                <w:b/>
                <w:szCs w:val="26"/>
              </w:rPr>
              <w:t>Chỉnh sửa</w:t>
            </w:r>
          </w:p>
        </w:tc>
        <w:tc>
          <w:tcPr>
            <w:tcW w:w="1124" w:type="dxa"/>
          </w:tcPr>
          <w:p w14:paraId="2308958E" w14:textId="25559970" w:rsidR="00B54F30" w:rsidRPr="00A438FF" w:rsidRDefault="00B54F30" w:rsidP="00A438FF">
            <w:pPr>
              <w:spacing w:before="0" w:after="0" w:line="312" w:lineRule="auto"/>
              <w:jc w:val="center"/>
              <w:rPr>
                <w:b/>
                <w:szCs w:val="26"/>
              </w:rPr>
            </w:pPr>
            <w:r w:rsidRPr="00A438FF">
              <w:rPr>
                <w:b/>
                <w:szCs w:val="26"/>
              </w:rPr>
              <w:t>Trang</w:t>
            </w:r>
          </w:p>
        </w:tc>
      </w:tr>
      <w:tr w:rsidR="00B54F30" w:rsidRPr="00A438FF" w14:paraId="02B278EB" w14:textId="77777777" w:rsidTr="00D91D8E">
        <w:trPr>
          <w:jc w:val="center"/>
        </w:trPr>
        <w:tc>
          <w:tcPr>
            <w:tcW w:w="4586" w:type="dxa"/>
          </w:tcPr>
          <w:p w14:paraId="2B2A24A6" w14:textId="505CD9AE" w:rsidR="0060269E" w:rsidRPr="00A438FF" w:rsidRDefault="0060269E" w:rsidP="00A438FF">
            <w:pPr>
              <w:spacing w:before="0" w:after="0" w:line="312" w:lineRule="auto"/>
              <w:rPr>
                <w:b/>
                <w:szCs w:val="26"/>
              </w:rPr>
            </w:pPr>
            <w:r w:rsidRPr="00A438FF">
              <w:rPr>
                <w:b/>
                <w:szCs w:val="26"/>
              </w:rPr>
              <w:t>1. Comments on the content, research methodology</w:t>
            </w:r>
          </w:p>
          <w:p w14:paraId="0108A803" w14:textId="359EE0FD" w:rsidR="00B54F30" w:rsidRPr="00A438FF" w:rsidRDefault="0060269E" w:rsidP="00A438FF">
            <w:pPr>
              <w:spacing w:before="0" w:after="0" w:line="312" w:lineRule="auto"/>
              <w:rPr>
                <w:szCs w:val="26"/>
              </w:rPr>
            </w:pPr>
            <w:r w:rsidRPr="00A438FF">
              <w:rPr>
                <w:szCs w:val="26"/>
              </w:rPr>
              <w:t>Trước hết, mặc dù tác giả đã bổ sung phần làm rõ đóng góp lý thuyết và khẳng định rằng nghiên cứu mở rộng Lý thuyết hành vi có kế hoạch (TPB) thông qua việc tích hợp trao quyền tâm lý và sự tham gia, song phần lập luận vẫn dừng ở mức khẳng định vai trò bổ trợ của các biến này hơn là chỉ ra sự điều chỉnh hoặc tái cấu trúc cơ chế lý thuyết của TPB. Bài viết sẽ thuyết phục hơn nếu tác giả phân tích rõ hơn TPB truyền thống còn hạn chế ở điểm nào trong bối cảnh nghiên cứu, trao quyền tâm lý đóng vai trò tương đương hay bổ sung cho thành phần nào của TPB, và mô hình đề xuất thực sự mở rộng khung lý thuyết ra sao so với các nghiên cứu trước đây. Việc làm rõ “điểm vượt trội” về mặt cơ chế lý thuyết sẽ giúp bài báo nâng từ mức xác nhận thực nghiệm trong bối cảnh địa phương lên mức đóng góp học thuật rõ nét hơn.</w:t>
            </w:r>
          </w:p>
        </w:tc>
        <w:tc>
          <w:tcPr>
            <w:tcW w:w="3783" w:type="dxa"/>
          </w:tcPr>
          <w:p w14:paraId="277B5F0D" w14:textId="77777777" w:rsidR="00A438FF" w:rsidRPr="00A438FF" w:rsidRDefault="00A438FF" w:rsidP="00A438FF">
            <w:pPr>
              <w:spacing w:before="0" w:after="0" w:line="312" w:lineRule="auto"/>
              <w:rPr>
                <w:szCs w:val="26"/>
                <w:lang w:val="vi-VN"/>
              </w:rPr>
            </w:pPr>
          </w:p>
          <w:p w14:paraId="1594D277" w14:textId="77777777" w:rsidR="00A438FF" w:rsidRPr="00A438FF" w:rsidRDefault="00A438FF" w:rsidP="00A438FF">
            <w:pPr>
              <w:spacing w:before="0" w:after="0" w:line="312" w:lineRule="auto"/>
              <w:rPr>
                <w:szCs w:val="26"/>
                <w:lang w:val="vi-VN"/>
              </w:rPr>
            </w:pPr>
          </w:p>
          <w:p w14:paraId="1CE31C23" w14:textId="24EC7792" w:rsidR="00F756A3" w:rsidRPr="00A438FF" w:rsidRDefault="00A438FF" w:rsidP="00A438FF">
            <w:pPr>
              <w:spacing w:before="0" w:after="0" w:line="312" w:lineRule="auto"/>
              <w:rPr>
                <w:szCs w:val="26"/>
              </w:rPr>
            </w:pPr>
            <w:r w:rsidRPr="00A438FF">
              <w:rPr>
                <w:szCs w:val="26"/>
              </w:rPr>
              <w:t>T</w:t>
            </w:r>
            <w:r w:rsidRPr="00A438FF">
              <w:rPr>
                <w:szCs w:val="26"/>
                <w:lang w:val="vi-VN"/>
              </w:rPr>
              <w:t>ác giả đã bổ sung phần lập luận nhằm làm rõ hơn những hạn chế của TPB truyền thống, đặc biệt là việc TPB chưa phản ánh đầy đủ các trạng thái tâm lý nội tại và mức độ tham gia thực tế của cá nhân trong bối cảnh du lịch cộng đồng. Trên cơ sở đó, nghiên cứu làm rõ vai trò của trao quyền tâm lý như một yếu tố mở rộng phản ánh trạng thái tâm lý nội tại của cá nhân, đồng thời xem sự tham gia như một cơ chế trung gian chuyển hóa trạng thái trao quyền tâm lý thành ý định hỗ trợ phát triển du lịch. Việc bổ sung và làm rõ các lập luận này giúp nhấn mạnh hơn cách thức mô hình đề xuất mở rộng cơ chế giải thích của TPB trong bối cảnh nghiên cứu.</w:t>
            </w:r>
          </w:p>
        </w:tc>
        <w:tc>
          <w:tcPr>
            <w:tcW w:w="1124" w:type="dxa"/>
          </w:tcPr>
          <w:p w14:paraId="7205B5A5" w14:textId="77777777" w:rsidR="00A438FF" w:rsidRDefault="00A438FF" w:rsidP="00A438FF">
            <w:pPr>
              <w:spacing w:before="0" w:after="0" w:line="312" w:lineRule="auto"/>
              <w:jc w:val="center"/>
              <w:rPr>
                <w:szCs w:val="26"/>
              </w:rPr>
            </w:pPr>
          </w:p>
          <w:p w14:paraId="5A92FFC6" w14:textId="77777777" w:rsidR="00A438FF" w:rsidRDefault="00A438FF" w:rsidP="00A438FF">
            <w:pPr>
              <w:spacing w:before="0" w:after="0" w:line="312" w:lineRule="auto"/>
              <w:jc w:val="center"/>
              <w:rPr>
                <w:szCs w:val="26"/>
              </w:rPr>
            </w:pPr>
          </w:p>
          <w:p w14:paraId="1D430CBD" w14:textId="2D3608AE" w:rsidR="00B54F30" w:rsidRPr="00A438FF" w:rsidRDefault="00A438FF" w:rsidP="00A438FF">
            <w:pPr>
              <w:spacing w:before="0" w:after="0" w:line="312" w:lineRule="auto"/>
              <w:jc w:val="center"/>
              <w:rPr>
                <w:szCs w:val="26"/>
              </w:rPr>
            </w:pPr>
            <w:r>
              <w:rPr>
                <w:szCs w:val="26"/>
              </w:rPr>
              <w:t>3</w:t>
            </w:r>
          </w:p>
          <w:p w14:paraId="2C00C0A5" w14:textId="33EB36B6" w:rsidR="00B54F30" w:rsidRPr="00A438FF" w:rsidRDefault="00B54F30" w:rsidP="00A438FF">
            <w:pPr>
              <w:spacing w:before="0" w:after="0" w:line="312" w:lineRule="auto"/>
              <w:jc w:val="center"/>
              <w:rPr>
                <w:szCs w:val="26"/>
              </w:rPr>
            </w:pPr>
          </w:p>
          <w:p w14:paraId="619EA381" w14:textId="1DF37F55" w:rsidR="00B54F30" w:rsidRPr="00A438FF" w:rsidRDefault="00B54F30" w:rsidP="00A438FF">
            <w:pPr>
              <w:spacing w:before="0" w:after="0" w:line="312" w:lineRule="auto"/>
              <w:jc w:val="center"/>
              <w:rPr>
                <w:szCs w:val="26"/>
              </w:rPr>
            </w:pPr>
          </w:p>
          <w:p w14:paraId="7430DDAE" w14:textId="77777777" w:rsidR="00B54F30" w:rsidRPr="00A438FF" w:rsidRDefault="00B54F30" w:rsidP="00A438FF">
            <w:pPr>
              <w:spacing w:before="0" w:after="0" w:line="312" w:lineRule="auto"/>
              <w:rPr>
                <w:szCs w:val="26"/>
              </w:rPr>
            </w:pPr>
          </w:p>
          <w:p w14:paraId="1799CF4D" w14:textId="7B0F0475" w:rsidR="00B54F30" w:rsidRPr="00A438FF" w:rsidRDefault="00B54F30" w:rsidP="00A438FF">
            <w:pPr>
              <w:spacing w:before="0" w:after="0" w:line="312" w:lineRule="auto"/>
              <w:rPr>
                <w:szCs w:val="26"/>
              </w:rPr>
            </w:pPr>
          </w:p>
        </w:tc>
      </w:tr>
      <w:tr w:rsidR="00F41B7C" w:rsidRPr="00A438FF" w14:paraId="59F45ADD" w14:textId="77777777" w:rsidTr="00D91D8E">
        <w:trPr>
          <w:jc w:val="center"/>
        </w:trPr>
        <w:tc>
          <w:tcPr>
            <w:tcW w:w="4586" w:type="dxa"/>
          </w:tcPr>
          <w:p w14:paraId="383F3995" w14:textId="6057012E" w:rsidR="00F41B7C" w:rsidRPr="00A438FF" w:rsidRDefault="0060269E" w:rsidP="00A438FF">
            <w:pPr>
              <w:spacing w:before="0" w:after="0" w:line="312" w:lineRule="auto"/>
              <w:rPr>
                <w:szCs w:val="26"/>
              </w:rPr>
            </w:pPr>
            <w:r w:rsidRPr="00A438FF">
              <w:rPr>
                <w:szCs w:val="26"/>
              </w:rPr>
              <w:t xml:space="preserve">Về phương pháp nghiên cứu, </w:t>
            </w:r>
            <w:r w:rsidR="00A438FF">
              <w:rPr>
                <w:szCs w:val="26"/>
              </w:rPr>
              <w:t>…</w:t>
            </w:r>
            <w:r w:rsidRPr="00A438FF">
              <w:rPr>
                <w:szCs w:val="26"/>
              </w:rPr>
              <w:t xml:space="preserve"> để tăng độ chặt chẽ phương pháp luận, bài báo có thể cân nhắc bổ sung một số kiểm định bổ trợ. Cụ thể, nghiên cứu hiện chưa thực hiện kiểm định độ bền vững của mô hình (robustness check), chưa so sánh với mô hình thay thế, cũng như chưa phân tích tác động của các biến kiểm soát như tuổi, trình độ học vấn hoặc vị trí công việc. Trong bối cảnh các tạp chí học thuật ngày càng yêu cầu cao về tính nghiêm ngặt phương pháp, việc bổ sung những phân tích này không </w:t>
            </w:r>
            <w:r w:rsidRPr="00A438FF">
              <w:rPr>
                <w:szCs w:val="26"/>
              </w:rPr>
              <w:lastRenderedPageBreak/>
              <w:t>chỉ làm tăng độ tin cậy của kết quả mà còn củng cố lập luận rằng các mối quan hệ quan sát được không phải là hệ quả của cấu trúc mẫu hay đặc điểm nhân khẩu học cụ thể.</w:t>
            </w:r>
          </w:p>
        </w:tc>
        <w:tc>
          <w:tcPr>
            <w:tcW w:w="3783" w:type="dxa"/>
          </w:tcPr>
          <w:p w14:paraId="6C90D88D" w14:textId="0571BE78" w:rsidR="00F41B7C" w:rsidRPr="00A438FF" w:rsidRDefault="00664A5A" w:rsidP="00A438FF">
            <w:pPr>
              <w:spacing w:before="0" w:after="0" w:line="312" w:lineRule="auto"/>
              <w:rPr>
                <w:szCs w:val="26"/>
              </w:rPr>
            </w:pPr>
            <w:r w:rsidRPr="00664A5A">
              <w:rPr>
                <w:szCs w:val="26"/>
              </w:rPr>
              <w:lastRenderedPageBreak/>
              <w:t xml:space="preserve">Cảm ơn góp ý của phản biện. Tác giả thừa nhận rằng nghiên cứu hiện chưa thực hiện một số kiểm định bổ trợ như kiểm định độ bền vững của mô hình, so sánh với các mô hình thay thế, cũng như phân tích tác động của các biến kiểm soát như tuổi, trình độ học vấn hoặc vị trí công việc. Đây là một hạn chế của bài báo và đã được tác giả nêu rõ trong phần hạn chế </w:t>
            </w:r>
            <w:r w:rsidRPr="00664A5A">
              <w:rPr>
                <w:szCs w:val="26"/>
              </w:rPr>
              <w:lastRenderedPageBreak/>
              <w:t xml:space="preserve">nghiên cứu và định hướng nghiên cứu tương lai. </w:t>
            </w:r>
          </w:p>
        </w:tc>
        <w:tc>
          <w:tcPr>
            <w:tcW w:w="1124" w:type="dxa"/>
          </w:tcPr>
          <w:p w14:paraId="0BD087BF" w14:textId="0708240D" w:rsidR="00F41B7C" w:rsidRPr="00A438FF" w:rsidRDefault="00664A5A" w:rsidP="00A438FF">
            <w:pPr>
              <w:spacing w:before="0" w:after="0" w:line="312" w:lineRule="auto"/>
              <w:jc w:val="center"/>
              <w:rPr>
                <w:szCs w:val="26"/>
              </w:rPr>
            </w:pPr>
            <w:r>
              <w:rPr>
                <w:szCs w:val="26"/>
              </w:rPr>
              <w:lastRenderedPageBreak/>
              <w:t>11</w:t>
            </w:r>
          </w:p>
        </w:tc>
      </w:tr>
      <w:tr w:rsidR="00F41B7C" w:rsidRPr="00A438FF" w14:paraId="2F1C48DA" w14:textId="77777777" w:rsidTr="00D91D8E">
        <w:trPr>
          <w:jc w:val="center"/>
        </w:trPr>
        <w:tc>
          <w:tcPr>
            <w:tcW w:w="4586" w:type="dxa"/>
          </w:tcPr>
          <w:p w14:paraId="335C16C5" w14:textId="77777777" w:rsidR="00664A5A" w:rsidRDefault="0060269E" w:rsidP="00A438FF">
            <w:pPr>
              <w:spacing w:before="0" w:after="0" w:line="312" w:lineRule="auto"/>
              <w:rPr>
                <w:szCs w:val="26"/>
              </w:rPr>
            </w:pPr>
            <w:r w:rsidRPr="00A438FF">
              <w:rPr>
                <w:szCs w:val="26"/>
              </w:rPr>
              <w:t>Bên cạnh đó, việc sử dụng kiểm định one-tailed test trong phân tích bootstrap nên được giải thích rõ hơn về mặt lý thuyết. Trong thông lệ quốc tế, kiểm định này chỉ thực sự phù hợp khi có cơ sở lý thuyết rất mạnh và giả thuyết có hướng hoàn toàn rõ ràng; do đó, nếu tiếp tục duy trì cách tiếp cận này, tác giả nên bổ sung lập luận phương pháp để làm rõ lý do lựa chọn.</w:t>
            </w:r>
          </w:p>
          <w:p w14:paraId="622E59AF" w14:textId="6EE24DF8" w:rsidR="00F41B7C" w:rsidRPr="00A438FF" w:rsidRDefault="0060269E" w:rsidP="00A438FF">
            <w:pPr>
              <w:spacing w:before="0" w:after="0" w:line="312" w:lineRule="auto"/>
              <w:rPr>
                <w:szCs w:val="26"/>
              </w:rPr>
            </w:pPr>
            <w:r w:rsidRPr="00A438FF">
              <w:rPr>
                <w:szCs w:val="26"/>
              </w:rPr>
              <w:t>Ngoài ra, giá trị R² của biến phụ thuộc chính ở mức trung bình cho thấy mô hình mới giải thích được một phần vừa phải của ý định hỗ trợ; phần thảo luận có thể phân tích sâu hơn về ý nghĩa của mức độ giải thích này và gợi mở những yếu tố tiềm năng khác có thể được tích hợp trong các nghiên cứu tương lai.</w:t>
            </w:r>
          </w:p>
        </w:tc>
        <w:tc>
          <w:tcPr>
            <w:tcW w:w="3783" w:type="dxa"/>
          </w:tcPr>
          <w:p w14:paraId="3E6295EA" w14:textId="77777777" w:rsidR="00F41B7C" w:rsidRDefault="00664A5A" w:rsidP="00A438FF">
            <w:pPr>
              <w:spacing w:before="0" w:after="0" w:line="312" w:lineRule="auto"/>
              <w:rPr>
                <w:szCs w:val="26"/>
              </w:rPr>
            </w:pPr>
            <w:r w:rsidRPr="00664A5A">
              <w:rPr>
                <w:szCs w:val="26"/>
              </w:rPr>
              <w:t xml:space="preserve">Tác giả đã bổ sung giải thích trong bản sửa đổi để làm rõ cơ sở phương pháp luận của việc sử dụng kiểm định một phía (one-tailed test), nhấn mạnh rằng các giả thuyết nghiên cứu đều được xây dựng với hướng tác động rõ ràng dựa trên nền tảng lý thuyết và các nghiên cứu trước. </w:t>
            </w:r>
          </w:p>
          <w:p w14:paraId="27338350" w14:textId="40A16E19" w:rsidR="005B4745" w:rsidRPr="00A438FF" w:rsidRDefault="005B4745" w:rsidP="00A438FF">
            <w:pPr>
              <w:spacing w:before="0" w:after="0" w:line="312" w:lineRule="auto"/>
              <w:rPr>
                <w:szCs w:val="26"/>
              </w:rPr>
            </w:pPr>
            <w:r>
              <w:rPr>
                <w:szCs w:val="26"/>
              </w:rPr>
              <w:t>T</w:t>
            </w:r>
            <w:r w:rsidRPr="005B4745">
              <w:rPr>
                <w:szCs w:val="26"/>
              </w:rPr>
              <w:t>ác giả đã bổ sung phần thảo luận làm rõ ý nghĩa của giá trị R² ở mức trung bình, đồng thời gợi mở một số yếu tố tiềm năng có thể được tích hợp trong các nghiên cứu tương lai nhằm nâng cao khả năng giải thích của mô hình.</w:t>
            </w:r>
          </w:p>
        </w:tc>
        <w:tc>
          <w:tcPr>
            <w:tcW w:w="1124" w:type="dxa"/>
          </w:tcPr>
          <w:p w14:paraId="64191849" w14:textId="77777777" w:rsidR="00F41B7C" w:rsidRDefault="00664A5A" w:rsidP="00A438FF">
            <w:pPr>
              <w:spacing w:before="0" w:after="0" w:line="312" w:lineRule="auto"/>
              <w:jc w:val="center"/>
              <w:rPr>
                <w:szCs w:val="26"/>
              </w:rPr>
            </w:pPr>
            <w:r>
              <w:rPr>
                <w:szCs w:val="26"/>
              </w:rPr>
              <w:t>9</w:t>
            </w:r>
          </w:p>
          <w:p w14:paraId="0503A89C" w14:textId="77777777" w:rsidR="005B4745" w:rsidRDefault="005B4745" w:rsidP="00A438FF">
            <w:pPr>
              <w:spacing w:before="0" w:after="0" w:line="312" w:lineRule="auto"/>
              <w:jc w:val="center"/>
              <w:rPr>
                <w:szCs w:val="26"/>
              </w:rPr>
            </w:pPr>
          </w:p>
          <w:p w14:paraId="4D406D26" w14:textId="77777777" w:rsidR="005B4745" w:rsidRDefault="005B4745" w:rsidP="00A438FF">
            <w:pPr>
              <w:spacing w:before="0" w:after="0" w:line="312" w:lineRule="auto"/>
              <w:jc w:val="center"/>
              <w:rPr>
                <w:szCs w:val="26"/>
              </w:rPr>
            </w:pPr>
          </w:p>
          <w:p w14:paraId="3CE31BFE" w14:textId="77777777" w:rsidR="005B4745" w:rsidRDefault="005B4745" w:rsidP="00A438FF">
            <w:pPr>
              <w:spacing w:before="0" w:after="0" w:line="312" w:lineRule="auto"/>
              <w:jc w:val="center"/>
              <w:rPr>
                <w:szCs w:val="26"/>
              </w:rPr>
            </w:pPr>
          </w:p>
          <w:p w14:paraId="296EA081" w14:textId="77777777" w:rsidR="005B4745" w:rsidRDefault="005B4745" w:rsidP="00A438FF">
            <w:pPr>
              <w:spacing w:before="0" w:after="0" w:line="312" w:lineRule="auto"/>
              <w:jc w:val="center"/>
              <w:rPr>
                <w:szCs w:val="26"/>
              </w:rPr>
            </w:pPr>
          </w:p>
          <w:p w14:paraId="4B445F23" w14:textId="77777777" w:rsidR="005B4745" w:rsidRDefault="005B4745" w:rsidP="00A438FF">
            <w:pPr>
              <w:spacing w:before="0" w:after="0" w:line="312" w:lineRule="auto"/>
              <w:jc w:val="center"/>
              <w:rPr>
                <w:szCs w:val="26"/>
              </w:rPr>
            </w:pPr>
          </w:p>
          <w:p w14:paraId="174103CA" w14:textId="77777777" w:rsidR="005B4745" w:rsidRDefault="005B4745" w:rsidP="00A438FF">
            <w:pPr>
              <w:spacing w:before="0" w:after="0" w:line="312" w:lineRule="auto"/>
              <w:jc w:val="center"/>
              <w:rPr>
                <w:szCs w:val="26"/>
              </w:rPr>
            </w:pPr>
          </w:p>
          <w:p w14:paraId="5CDB8E8D" w14:textId="77777777" w:rsidR="005B4745" w:rsidRDefault="005B4745" w:rsidP="00A438FF">
            <w:pPr>
              <w:spacing w:before="0" w:after="0" w:line="312" w:lineRule="auto"/>
              <w:jc w:val="center"/>
              <w:rPr>
                <w:szCs w:val="26"/>
              </w:rPr>
            </w:pPr>
          </w:p>
          <w:p w14:paraId="782BF314" w14:textId="77777777" w:rsidR="005B4745" w:rsidRDefault="005B4745" w:rsidP="00A438FF">
            <w:pPr>
              <w:spacing w:before="0" w:after="0" w:line="312" w:lineRule="auto"/>
              <w:jc w:val="center"/>
              <w:rPr>
                <w:szCs w:val="26"/>
              </w:rPr>
            </w:pPr>
          </w:p>
          <w:p w14:paraId="7E416DC0" w14:textId="31480565" w:rsidR="005B4745" w:rsidRPr="00A438FF" w:rsidRDefault="005B4745" w:rsidP="00A438FF">
            <w:pPr>
              <w:spacing w:before="0" w:after="0" w:line="312" w:lineRule="auto"/>
              <w:jc w:val="center"/>
              <w:rPr>
                <w:szCs w:val="26"/>
              </w:rPr>
            </w:pPr>
            <w:r>
              <w:rPr>
                <w:szCs w:val="26"/>
              </w:rPr>
              <w:t>11</w:t>
            </w:r>
          </w:p>
        </w:tc>
      </w:tr>
      <w:tr w:rsidR="00F41B7C" w:rsidRPr="00A438FF" w14:paraId="58854116" w14:textId="77777777" w:rsidTr="00D91D8E">
        <w:trPr>
          <w:jc w:val="center"/>
        </w:trPr>
        <w:tc>
          <w:tcPr>
            <w:tcW w:w="4586" w:type="dxa"/>
          </w:tcPr>
          <w:p w14:paraId="08942D22" w14:textId="7B5F0D1E" w:rsidR="00F41B7C" w:rsidRPr="00A438FF" w:rsidRDefault="0060269E" w:rsidP="00A438FF">
            <w:pPr>
              <w:spacing w:before="0" w:after="0" w:line="312" w:lineRule="auto"/>
              <w:rPr>
                <w:szCs w:val="26"/>
              </w:rPr>
            </w:pPr>
            <w:r w:rsidRPr="00A438FF">
              <w:rPr>
                <w:szCs w:val="26"/>
              </w:rPr>
              <w:t>Phần thảo luận đã được tinh gọn so với phiên bản trước, song vẫn có thể được nâng cao bằng cách tăng cường đối thoại học thuật với các nghiên cứu quốc tế gần đây. Hiện tại, phần lớn nội dung thảo luận chủ yếu diễn giải lại kết quả và liên hệ với các nghiên cứu ủng hộ cùng chiều; bài báo sẽ có chiều sâu hơn nếu tác giả phân tích thêm các kết quả trái chiều hoặc những tranh luận lý thuyết liên quan đến trao quyền và ý định hành vi trong du lịch bền vững. Cách tiếp cận này không chỉ làm rõ vị trí của nghiên cứu trong dòng chảy học thuật mà còn thể hiện năng lực phản biện và tổng hợp lý thuyết của nhóm tác giả.</w:t>
            </w:r>
          </w:p>
        </w:tc>
        <w:tc>
          <w:tcPr>
            <w:tcW w:w="3783" w:type="dxa"/>
          </w:tcPr>
          <w:p w14:paraId="379436D0" w14:textId="73F4D5C7" w:rsidR="00F41B7C" w:rsidRPr="00A438FF" w:rsidRDefault="008B058F" w:rsidP="00A438FF">
            <w:pPr>
              <w:spacing w:before="0" w:after="0" w:line="312" w:lineRule="auto"/>
              <w:rPr>
                <w:szCs w:val="26"/>
              </w:rPr>
            </w:pPr>
            <w:r>
              <w:rPr>
                <w:szCs w:val="26"/>
              </w:rPr>
              <w:t>T</w:t>
            </w:r>
            <w:r w:rsidRPr="008B058F">
              <w:rPr>
                <w:szCs w:val="26"/>
              </w:rPr>
              <w:t xml:space="preserve">ác giả đã tinh gọn và điều chỉnh phần thảo luận, đồng thời bổ sung các lập luận đối chiếu với một số nghiên cứu quốc tế và các quan điểm lý thuyết liên quan đến trao quyền và ý định hành vi trong du lịch bền vững, bao gồm cả những kết quả có sự khác biệt. </w:t>
            </w:r>
          </w:p>
        </w:tc>
        <w:tc>
          <w:tcPr>
            <w:tcW w:w="1124" w:type="dxa"/>
          </w:tcPr>
          <w:p w14:paraId="4C078BA6" w14:textId="309DD25C" w:rsidR="00D91D8E" w:rsidRPr="00A438FF" w:rsidRDefault="00545EFF" w:rsidP="00A438FF">
            <w:pPr>
              <w:spacing w:before="0" w:after="0" w:line="312" w:lineRule="auto"/>
              <w:jc w:val="center"/>
              <w:rPr>
                <w:szCs w:val="26"/>
              </w:rPr>
            </w:pPr>
            <w:r>
              <w:rPr>
                <w:szCs w:val="26"/>
              </w:rPr>
              <w:t>10</w:t>
            </w:r>
          </w:p>
        </w:tc>
      </w:tr>
      <w:tr w:rsidR="00B54F30" w:rsidRPr="00A438FF" w14:paraId="471638D8" w14:textId="77777777" w:rsidTr="00D91D8E">
        <w:trPr>
          <w:jc w:val="center"/>
        </w:trPr>
        <w:tc>
          <w:tcPr>
            <w:tcW w:w="4586" w:type="dxa"/>
          </w:tcPr>
          <w:p w14:paraId="7811785A" w14:textId="2E3669BA" w:rsidR="00F41B7C" w:rsidRPr="00A438FF" w:rsidRDefault="0060269E" w:rsidP="00A438FF">
            <w:pPr>
              <w:spacing w:before="0" w:after="0" w:line="312" w:lineRule="auto"/>
              <w:rPr>
                <w:szCs w:val="26"/>
              </w:rPr>
            </w:pPr>
            <w:r w:rsidRPr="00A438FF">
              <w:rPr>
                <w:szCs w:val="26"/>
              </w:rPr>
              <w:lastRenderedPageBreak/>
              <w:t>Về tài liệu tham khảo, việc loại bỏ các nguồn không phù hợp và rà soát DOI là một điểm cải thiện đáng ghi nhận. Tuy nhiên, để nâng cao tính cập nhật, tác giả có thể cân nhắc bổ sung thêm các công trình Q1/Q2 trong giai đoạn 2023–2025 liên quan đến trao quyền, giới và du lịch bền vững, đặc biệt là các nghiên cứu sử dụng phương pháp SEM hoặc mô hình trung gian tương tự. Sự gia tăng tỷ lệ tài liệu gần đây sẽ giúp bài báo thể hiện tốt hơn tính hội nhập với diễn đàn học thuật quốc tế.</w:t>
            </w:r>
          </w:p>
        </w:tc>
        <w:tc>
          <w:tcPr>
            <w:tcW w:w="3783" w:type="dxa"/>
          </w:tcPr>
          <w:p w14:paraId="5143181F" w14:textId="79B812CC" w:rsidR="00B54F30" w:rsidRPr="00A438FF" w:rsidRDefault="008B058F" w:rsidP="00A438FF">
            <w:pPr>
              <w:spacing w:before="0" w:after="0" w:line="312" w:lineRule="auto"/>
              <w:rPr>
                <w:szCs w:val="26"/>
              </w:rPr>
            </w:pPr>
            <w:r>
              <w:rPr>
                <w:szCs w:val="26"/>
              </w:rPr>
              <w:t>T</w:t>
            </w:r>
            <w:r w:rsidRPr="008B058F">
              <w:rPr>
                <w:szCs w:val="26"/>
              </w:rPr>
              <w:t xml:space="preserve">ác giả đã rà soát và bổ sung thêm </w:t>
            </w:r>
            <w:r w:rsidR="00545EFF">
              <w:rPr>
                <w:szCs w:val="26"/>
              </w:rPr>
              <w:t xml:space="preserve">03 </w:t>
            </w:r>
            <w:r w:rsidRPr="008B058F">
              <w:rPr>
                <w:szCs w:val="26"/>
              </w:rPr>
              <w:t xml:space="preserve">tài liệu quốc tế liên quan đến trao quyền, giới và du lịch bền vững, đặc biệt là các nghiên cứu sử dụng phương pháp SEM và mô hình trung gian tương tự. </w:t>
            </w:r>
          </w:p>
        </w:tc>
        <w:tc>
          <w:tcPr>
            <w:tcW w:w="1124" w:type="dxa"/>
          </w:tcPr>
          <w:p w14:paraId="16013335" w14:textId="15DA6CCF" w:rsidR="004F7CD0" w:rsidRPr="00A438FF" w:rsidRDefault="00545EFF" w:rsidP="004E2437">
            <w:pPr>
              <w:spacing w:before="0" w:after="0" w:line="312" w:lineRule="auto"/>
              <w:jc w:val="center"/>
              <w:rPr>
                <w:szCs w:val="26"/>
              </w:rPr>
            </w:pPr>
            <w:r>
              <w:rPr>
                <w:szCs w:val="26"/>
              </w:rPr>
              <w:t>11-12</w:t>
            </w:r>
          </w:p>
        </w:tc>
      </w:tr>
      <w:tr w:rsidR="0060269E" w:rsidRPr="00A438FF" w14:paraId="63A14D1C" w14:textId="77777777" w:rsidTr="00D91D8E">
        <w:trPr>
          <w:jc w:val="center"/>
        </w:trPr>
        <w:tc>
          <w:tcPr>
            <w:tcW w:w="4586" w:type="dxa"/>
          </w:tcPr>
          <w:p w14:paraId="00451D11" w14:textId="37258653" w:rsidR="0060269E" w:rsidRPr="00A438FF" w:rsidRDefault="0060269E" w:rsidP="00A438FF">
            <w:pPr>
              <w:spacing w:before="0" w:after="0" w:line="312" w:lineRule="auto"/>
              <w:rPr>
                <w:b/>
                <w:szCs w:val="26"/>
              </w:rPr>
            </w:pPr>
            <w:r w:rsidRPr="00A438FF">
              <w:rPr>
                <w:b/>
                <w:szCs w:val="26"/>
              </w:rPr>
              <w:t>2. Comments on the manuscript organization</w:t>
            </w:r>
          </w:p>
          <w:p w14:paraId="44A48529" w14:textId="257E7B18" w:rsidR="0060269E" w:rsidRPr="00A438FF" w:rsidRDefault="0060269E" w:rsidP="00A438FF">
            <w:pPr>
              <w:spacing w:before="0" w:after="0" w:line="312" w:lineRule="auto"/>
              <w:rPr>
                <w:szCs w:val="26"/>
              </w:rPr>
            </w:pPr>
            <w:r w:rsidRPr="00A438FF">
              <w:rPr>
                <w:szCs w:val="26"/>
              </w:rPr>
              <w:t>Trước hết, phần cơ sở lý thuyết tuy được trình bày đầy đủ nhưng còn khá dài và có xu hướng diễn giải theo lối tuyến tính, trong khi sự kết nối giữa các tiểu mục đôi lúc chưa thật sự chặt chẽ. Một số đoạn vẫn mang tính mô tả lại các nghiên cứu trước hơn là tổng hợp, so sánh và rút ra khoảng trống nghiên cứu, khiến phần này có cảm giác “liệt kê tài liệu” thay vì “xây dựng nền tảng lý luận”. Việc tinh gọn các đoạn lặp ý và tăng cường các câu chuyển đoạn mang tính lập luận sẽ giúp phần lý thuyết cô đọng và sắc nét hơn.</w:t>
            </w:r>
          </w:p>
        </w:tc>
        <w:tc>
          <w:tcPr>
            <w:tcW w:w="3783" w:type="dxa"/>
          </w:tcPr>
          <w:p w14:paraId="4A69FD83" w14:textId="77777777" w:rsidR="0060269E" w:rsidRDefault="0060269E" w:rsidP="00A438FF">
            <w:pPr>
              <w:spacing w:before="0" w:after="0" w:line="312" w:lineRule="auto"/>
              <w:rPr>
                <w:szCs w:val="26"/>
              </w:rPr>
            </w:pPr>
          </w:p>
          <w:p w14:paraId="392C7620" w14:textId="77777777" w:rsidR="006907AD" w:rsidRDefault="006907AD" w:rsidP="00A438FF">
            <w:pPr>
              <w:spacing w:before="0" w:after="0" w:line="312" w:lineRule="auto"/>
              <w:rPr>
                <w:szCs w:val="26"/>
              </w:rPr>
            </w:pPr>
          </w:p>
          <w:p w14:paraId="76955DBE" w14:textId="70348230" w:rsidR="006907AD" w:rsidRPr="00A438FF" w:rsidRDefault="006907AD" w:rsidP="00A438FF">
            <w:pPr>
              <w:spacing w:before="0" w:after="0" w:line="312" w:lineRule="auto"/>
              <w:rPr>
                <w:szCs w:val="26"/>
              </w:rPr>
            </w:pPr>
            <w:r>
              <w:rPr>
                <w:szCs w:val="26"/>
              </w:rPr>
              <w:t xml:space="preserve">Tác giả </w:t>
            </w:r>
            <w:r w:rsidRPr="006907AD">
              <w:rPr>
                <w:szCs w:val="26"/>
              </w:rPr>
              <w:t>đã tinh gọn các đoạn lặp ý, giảm bớt nội dung mang tính mô tả tài liệu và tăng cường các câu chuyển đoạn nhằm làm rõ mối liên kết lập luận giữa các tiểu mục. Đồng thời, phần cơ sở lý thuyết cũng được điều chỉnh theo hướng tổng hợp và nhấn mạnh khoảng trống nghiên cứu, giúp nội dung cô đọng và mạch lạc hơn</w:t>
            </w:r>
          </w:p>
        </w:tc>
        <w:tc>
          <w:tcPr>
            <w:tcW w:w="1124" w:type="dxa"/>
          </w:tcPr>
          <w:p w14:paraId="34ADE3B1" w14:textId="77777777" w:rsidR="0060269E" w:rsidRDefault="0060269E" w:rsidP="00A438FF">
            <w:pPr>
              <w:spacing w:before="0" w:after="0" w:line="312" w:lineRule="auto"/>
              <w:jc w:val="center"/>
              <w:rPr>
                <w:szCs w:val="26"/>
              </w:rPr>
            </w:pPr>
          </w:p>
          <w:p w14:paraId="49E45C1F" w14:textId="77777777" w:rsidR="006907AD" w:rsidRDefault="006907AD" w:rsidP="00A438FF">
            <w:pPr>
              <w:spacing w:before="0" w:after="0" w:line="312" w:lineRule="auto"/>
              <w:jc w:val="center"/>
              <w:rPr>
                <w:szCs w:val="26"/>
              </w:rPr>
            </w:pPr>
          </w:p>
          <w:p w14:paraId="5B3A38C9" w14:textId="29735DDB" w:rsidR="006907AD" w:rsidRPr="00A438FF" w:rsidRDefault="006907AD" w:rsidP="00A438FF">
            <w:pPr>
              <w:spacing w:before="0" w:after="0" w:line="312" w:lineRule="auto"/>
              <w:jc w:val="center"/>
              <w:rPr>
                <w:szCs w:val="26"/>
              </w:rPr>
            </w:pPr>
            <w:r>
              <w:rPr>
                <w:szCs w:val="26"/>
              </w:rPr>
              <w:t>3-4</w:t>
            </w:r>
          </w:p>
        </w:tc>
      </w:tr>
      <w:tr w:rsidR="0060269E" w:rsidRPr="00A438FF" w14:paraId="198131B7" w14:textId="77777777" w:rsidTr="00D91D8E">
        <w:trPr>
          <w:jc w:val="center"/>
        </w:trPr>
        <w:tc>
          <w:tcPr>
            <w:tcW w:w="4586" w:type="dxa"/>
          </w:tcPr>
          <w:p w14:paraId="35B12FCA" w14:textId="7C701429" w:rsidR="0060269E" w:rsidRPr="00A438FF" w:rsidRDefault="0060269E" w:rsidP="00A438FF">
            <w:pPr>
              <w:spacing w:before="0" w:after="0" w:line="312" w:lineRule="auto"/>
              <w:rPr>
                <w:szCs w:val="26"/>
              </w:rPr>
            </w:pPr>
            <w:r w:rsidRPr="00A438FF">
              <w:rPr>
                <w:szCs w:val="26"/>
              </w:rPr>
              <w:t xml:space="preserve">Về bảng biểu và hình minh họa, </w:t>
            </w:r>
            <w:r w:rsidR="006907AD">
              <w:rPr>
                <w:szCs w:val="26"/>
              </w:rPr>
              <w:t>…</w:t>
            </w:r>
            <w:r w:rsidRPr="00A438FF">
              <w:rPr>
                <w:szCs w:val="26"/>
              </w:rPr>
              <w:t xml:space="preserve"> phần diễn giải bảng trong nội dung chính vẫn thiên về tường thuật con số hơn là phân tích ý nghĩa học thuật của các chỉ số như f², Q² hoặc mức độ ảnh hưởng tương đối giữa các biến. Ở một số đoạn, phần mô tả kết quả lặp lại thông tin đã thể hiện rõ trong bảng, trong khi có thể thay thế bằng những nhận định mang tính so sánh hoặc giải thích sâu hơn. Ngoài ra, cần rà soát kỹ </w:t>
            </w:r>
            <w:r w:rsidRPr="00A438FF">
              <w:rPr>
                <w:szCs w:val="26"/>
              </w:rPr>
              <w:lastRenderedPageBreak/>
              <w:t>lại cách căn lề, ký hiệu chú thích và sự thống nhất về cách viết tên biến (viết tắt, in nghiêng hay không) để đảm bảo tính chuyên nghiệp trong trình bày.</w:t>
            </w:r>
          </w:p>
        </w:tc>
        <w:tc>
          <w:tcPr>
            <w:tcW w:w="3783" w:type="dxa"/>
          </w:tcPr>
          <w:p w14:paraId="69831FDD" w14:textId="2C615A6A" w:rsidR="0060269E" w:rsidRPr="00A438FF" w:rsidRDefault="00B56785" w:rsidP="00A438FF">
            <w:pPr>
              <w:spacing w:before="0" w:after="0" w:line="312" w:lineRule="auto"/>
              <w:rPr>
                <w:szCs w:val="26"/>
              </w:rPr>
            </w:pPr>
            <w:r>
              <w:rPr>
                <w:szCs w:val="26"/>
              </w:rPr>
              <w:lastRenderedPageBreak/>
              <w:t>T</w:t>
            </w:r>
            <w:r w:rsidRPr="00B56785">
              <w:rPr>
                <w:szCs w:val="26"/>
              </w:rPr>
              <w:t xml:space="preserve">ác giả đã điều chỉnh phần diễn giải kết quả theo hướng giảm tường thuật số liệu trùng lặp với bảng, đồng thời bổ sung các phân tích về ý nghĩa học thuật của các chỉ số như f², Q² và so sánh mức độ ảnh hưởng tương đối giữa các biến. Nhờ đó, phần trình bày kết quả được tập trung hơn vào diễn giải và giải thích ý nghĩa của các </w:t>
            </w:r>
            <w:r w:rsidRPr="00B56785">
              <w:rPr>
                <w:szCs w:val="26"/>
              </w:rPr>
              <w:lastRenderedPageBreak/>
              <w:t xml:space="preserve">phát hiện nghiên cứu thay vì chỉ mô tả số liệu. </w:t>
            </w:r>
          </w:p>
        </w:tc>
        <w:tc>
          <w:tcPr>
            <w:tcW w:w="1124" w:type="dxa"/>
          </w:tcPr>
          <w:p w14:paraId="666A5D11" w14:textId="55D2F232" w:rsidR="0060269E" w:rsidRPr="00A438FF" w:rsidRDefault="00B56785" w:rsidP="00A438FF">
            <w:pPr>
              <w:spacing w:before="0" w:after="0" w:line="312" w:lineRule="auto"/>
              <w:jc w:val="center"/>
              <w:rPr>
                <w:szCs w:val="26"/>
              </w:rPr>
            </w:pPr>
            <w:r>
              <w:rPr>
                <w:szCs w:val="26"/>
              </w:rPr>
              <w:lastRenderedPageBreak/>
              <w:t>9-10</w:t>
            </w:r>
          </w:p>
        </w:tc>
      </w:tr>
      <w:tr w:rsidR="0060269E" w:rsidRPr="00A438FF" w14:paraId="2FD44A8B" w14:textId="77777777" w:rsidTr="00D91D8E">
        <w:trPr>
          <w:jc w:val="center"/>
        </w:trPr>
        <w:tc>
          <w:tcPr>
            <w:tcW w:w="4586" w:type="dxa"/>
          </w:tcPr>
          <w:p w14:paraId="076FB54A" w14:textId="1B1F2388" w:rsidR="0060269E" w:rsidRPr="00A438FF" w:rsidRDefault="0060269E" w:rsidP="00A438FF">
            <w:pPr>
              <w:spacing w:before="0" w:after="0" w:line="312" w:lineRule="auto"/>
              <w:rPr>
                <w:szCs w:val="26"/>
              </w:rPr>
            </w:pPr>
            <w:r w:rsidRPr="00A438FF">
              <w:rPr>
                <w:szCs w:val="26"/>
              </w:rPr>
              <w:t>Phần thảo luận và kết luận về cơ bản đã được sắp xếp hợp lý, song vẫn có thể chỉnh sửa thêm về độ cân đối giữa các đoạn. Một số ý quan trọng xuất hiện khá muộn trong phần kết luận thay vì được phát triển đầy đủ ở phần thảo luận. Việc phân định rạch ròi giữa “thảo luận” (giải thích, đối chiếu lý thuyết) và “kết luận” (tổng hợp đóng góp và gợi mở nghiên cứu tương lai) sẽ giúp bài viết đạt chuẩn trình bày chặt chẽ hơn.</w:t>
            </w:r>
          </w:p>
        </w:tc>
        <w:tc>
          <w:tcPr>
            <w:tcW w:w="3783" w:type="dxa"/>
          </w:tcPr>
          <w:p w14:paraId="638A8177" w14:textId="2035871A" w:rsidR="0060269E" w:rsidRPr="00A438FF" w:rsidRDefault="006D08E8" w:rsidP="00A438FF">
            <w:pPr>
              <w:spacing w:before="0" w:after="0" w:line="312" w:lineRule="auto"/>
              <w:rPr>
                <w:szCs w:val="26"/>
              </w:rPr>
            </w:pPr>
            <w:r>
              <w:rPr>
                <w:szCs w:val="26"/>
              </w:rPr>
              <w:t>Tá</w:t>
            </w:r>
            <w:r w:rsidRPr="006D08E8">
              <w:rPr>
                <w:szCs w:val="26"/>
              </w:rPr>
              <w:t>c giả đã điều chỉnh lại cấu trúc phần thảo luận và kết luận, chuyển một số nội dung phân tích quan trọng từ phần kết luận sang phần thảo luận nhằm tăng cường việc giải thích và đối chiếu với cơ sở lý thuyết. Đồng thời, phần kết luận được tinh gọn theo hướng tập trung tổng hợp các đóng góp chính của nghiên cứu và gợi mở hướng nghiên cứu tương lai, qua đó làm rõ sự phân định giữa hai phần.</w:t>
            </w:r>
          </w:p>
        </w:tc>
        <w:tc>
          <w:tcPr>
            <w:tcW w:w="1124" w:type="dxa"/>
          </w:tcPr>
          <w:p w14:paraId="5395AB2A" w14:textId="227806DF" w:rsidR="0060269E" w:rsidRPr="00A438FF" w:rsidRDefault="006D08E8" w:rsidP="00A438FF">
            <w:pPr>
              <w:spacing w:before="0" w:after="0" w:line="312" w:lineRule="auto"/>
              <w:jc w:val="center"/>
              <w:rPr>
                <w:szCs w:val="26"/>
              </w:rPr>
            </w:pPr>
            <w:r>
              <w:rPr>
                <w:szCs w:val="26"/>
              </w:rPr>
              <w:t>10-11</w:t>
            </w:r>
          </w:p>
        </w:tc>
      </w:tr>
      <w:tr w:rsidR="0060269E" w:rsidRPr="00A438FF" w14:paraId="4F0FED4C" w14:textId="77777777" w:rsidTr="00D91D8E">
        <w:trPr>
          <w:jc w:val="center"/>
        </w:trPr>
        <w:tc>
          <w:tcPr>
            <w:tcW w:w="4586" w:type="dxa"/>
          </w:tcPr>
          <w:p w14:paraId="3CA5C5DC" w14:textId="37E5CA33" w:rsidR="0060269E" w:rsidRPr="00A438FF" w:rsidRDefault="0060269E" w:rsidP="00A438FF">
            <w:pPr>
              <w:spacing w:before="0" w:after="0" w:line="312" w:lineRule="auto"/>
              <w:rPr>
                <w:szCs w:val="26"/>
              </w:rPr>
            </w:pPr>
            <w:r w:rsidRPr="00A438FF">
              <w:rPr>
                <w:szCs w:val="26"/>
              </w:rPr>
              <w:t>Về tài liệu tham khảo, danh mục đã được rà soát lại tương đối kỹ và loại bỏ các nguồn không phù hợp. Tuy nhiên, vẫn cần kiểm tra kỹ tính thống nhất trong cách trình bày DOI (có chỗ dùng “[https://doi.org/…</w:t>
            </w:r>
            <w:proofErr w:type="gramStart"/>
            <w:r w:rsidRPr="00A438FF">
              <w:rPr>
                <w:szCs w:val="26"/>
              </w:rPr>
              <w:t>”](</w:t>
            </w:r>
            <w:proofErr w:type="gramEnd"/>
            <w:r w:rsidRPr="00A438FF">
              <w:rPr>
                <w:szCs w:val="26"/>
              </w:rPr>
              <w:t>https://doi.org/…”), có chỗ chỉ ghi “doi.org/…”), viết hoa tên tạp chí, cách ghi số tập và số trang để đảm bảo đồng bộ hoàn toàn theo một chuẩn duy nhất. Những chi tiết tưởng như nhỏ này lại có ý nghĩa quan trọng trong đánh giá chất lượng hình thức của một bài báo khoa học.</w:t>
            </w:r>
          </w:p>
        </w:tc>
        <w:tc>
          <w:tcPr>
            <w:tcW w:w="3783" w:type="dxa"/>
          </w:tcPr>
          <w:p w14:paraId="3EA44F5B" w14:textId="1BB5D4F3" w:rsidR="0060269E" w:rsidRPr="00A438FF" w:rsidRDefault="008247BD" w:rsidP="00A438FF">
            <w:pPr>
              <w:spacing w:before="0" w:after="0" w:line="312" w:lineRule="auto"/>
              <w:rPr>
                <w:szCs w:val="26"/>
              </w:rPr>
            </w:pPr>
            <w:r>
              <w:rPr>
                <w:szCs w:val="26"/>
              </w:rPr>
              <w:t>T</w:t>
            </w:r>
            <w:r w:rsidRPr="008247BD">
              <w:rPr>
                <w:szCs w:val="26"/>
              </w:rPr>
              <w:t>ác giả đã rà soát và chỉnh sửa lại toàn bộ danh mục tài liệu tham khảo nhằm đảm bảo tính thống nhất trong cách trình bày DOI, viết hoa tên tạp chí, cũng như cách ghi số tập và số trang, qua đó đảm bảo tuân thủ một chuẩn trích dẫn thống nhất trong toàn bộ bài viết.</w:t>
            </w:r>
          </w:p>
        </w:tc>
        <w:tc>
          <w:tcPr>
            <w:tcW w:w="1124" w:type="dxa"/>
          </w:tcPr>
          <w:p w14:paraId="40852602" w14:textId="643C33CD" w:rsidR="0060269E" w:rsidRPr="00A438FF" w:rsidRDefault="008247BD" w:rsidP="00A438FF">
            <w:pPr>
              <w:spacing w:before="0" w:after="0" w:line="312" w:lineRule="auto"/>
              <w:jc w:val="center"/>
              <w:rPr>
                <w:szCs w:val="26"/>
              </w:rPr>
            </w:pPr>
            <w:r>
              <w:rPr>
                <w:szCs w:val="26"/>
              </w:rPr>
              <w:t>11-12</w:t>
            </w:r>
          </w:p>
        </w:tc>
      </w:tr>
      <w:tr w:rsidR="0060269E" w:rsidRPr="00A438FF" w14:paraId="054E4966" w14:textId="77777777" w:rsidTr="00D91D8E">
        <w:trPr>
          <w:jc w:val="center"/>
        </w:trPr>
        <w:tc>
          <w:tcPr>
            <w:tcW w:w="4586" w:type="dxa"/>
          </w:tcPr>
          <w:p w14:paraId="41A07F8D" w14:textId="1F1C8DF4" w:rsidR="0060269E" w:rsidRPr="00A438FF" w:rsidRDefault="0060269E" w:rsidP="00A438FF">
            <w:pPr>
              <w:spacing w:before="0" w:after="0" w:line="312" w:lineRule="auto"/>
              <w:rPr>
                <w:b/>
                <w:szCs w:val="26"/>
              </w:rPr>
            </w:pPr>
            <w:r w:rsidRPr="00A438FF">
              <w:rPr>
                <w:b/>
                <w:szCs w:val="26"/>
              </w:rPr>
              <w:t>3. Comments and suggestions</w:t>
            </w:r>
          </w:p>
          <w:p w14:paraId="68F152E7" w14:textId="17AF7822" w:rsidR="0060269E" w:rsidRPr="00A438FF" w:rsidRDefault="0060269E" w:rsidP="00A438FF">
            <w:pPr>
              <w:spacing w:before="0" w:after="0" w:line="312" w:lineRule="auto"/>
              <w:rPr>
                <w:szCs w:val="26"/>
              </w:rPr>
            </w:pPr>
            <w:r w:rsidRPr="00A438FF">
              <w:rPr>
                <w:szCs w:val="26"/>
              </w:rPr>
              <w:t>Để nâng cao hơn nữa chất lượng khoa học của bài báo, tác giả cần tiếp tục hoàn thiện ở một số điểm trọng yếu.</w:t>
            </w:r>
          </w:p>
          <w:p w14:paraId="0D0660B5" w14:textId="77777777" w:rsidR="0060269E" w:rsidRPr="00A438FF" w:rsidRDefault="0060269E" w:rsidP="00A438FF">
            <w:pPr>
              <w:spacing w:before="0" w:after="0" w:line="312" w:lineRule="auto"/>
              <w:rPr>
                <w:szCs w:val="26"/>
              </w:rPr>
            </w:pPr>
            <w:r w:rsidRPr="00A438FF">
              <w:rPr>
                <w:szCs w:val="26"/>
              </w:rPr>
              <w:t xml:space="preserve">- Trước hết, cần làm rõ hơn đóng góp lý thuyết của nghiên cứu, đặc biệt là cách thức nghiên cứu thực sự mở rộng hoặc điều chỉnh Lý thuyết hành vi có kế hoạch (TPB) và lý thuyết trao quyền, thay vì chỉ </w:t>
            </w:r>
            <w:r w:rsidRPr="00A438FF">
              <w:rPr>
                <w:szCs w:val="26"/>
              </w:rPr>
              <w:lastRenderedPageBreak/>
              <w:t xml:space="preserve">dừng lại ở việc xác nhận vai trò trung gian của sự tham gia. </w:t>
            </w:r>
          </w:p>
          <w:p w14:paraId="48B8ABBD" w14:textId="77777777" w:rsidR="0060269E" w:rsidRPr="00A438FF" w:rsidRDefault="0060269E" w:rsidP="00A438FF">
            <w:pPr>
              <w:spacing w:before="0" w:after="0" w:line="312" w:lineRule="auto"/>
              <w:rPr>
                <w:szCs w:val="26"/>
              </w:rPr>
            </w:pPr>
            <w:r w:rsidRPr="00A438FF">
              <w:rPr>
                <w:szCs w:val="26"/>
              </w:rPr>
              <w:t xml:space="preserve">- Thứ hai, nên củng cố độ chặt chẽ phương pháp bằng cách xem xét bổ sung các kiểm định độ bền vững của mô hình, phân tích mô hình thay thế hoặc giải thích rõ hơn lựa chọn kiểm định thống kê, đồng thời cân nhắc đưa vào các biến kiểm soát nhằm tăng khả năng khái quát hóa kết quả. </w:t>
            </w:r>
          </w:p>
          <w:p w14:paraId="1B26C2E5" w14:textId="6FA13D09" w:rsidR="0060269E" w:rsidRPr="00A438FF" w:rsidRDefault="0060269E" w:rsidP="00A438FF">
            <w:pPr>
              <w:spacing w:before="0" w:after="0" w:line="312" w:lineRule="auto"/>
              <w:rPr>
                <w:szCs w:val="26"/>
              </w:rPr>
            </w:pPr>
            <w:r w:rsidRPr="00A438FF">
              <w:rPr>
                <w:szCs w:val="26"/>
              </w:rPr>
              <w:t>- Cuối cùng, bài viết cần tiếp tục tinh gọn phần lý thuyết và thảo luận, cập nhật thêm các tài liệu Q1/Q2 gần đây liên quan đến trao quyền, giới và du lịch bền vững, cũng như rà soát kỹ các chi tiết trình bày và tài liệu tham khảo để đảm bảo tính đồng bộ và chuyên nghiệp trong công bố khoa học.</w:t>
            </w:r>
          </w:p>
        </w:tc>
        <w:tc>
          <w:tcPr>
            <w:tcW w:w="3783" w:type="dxa"/>
          </w:tcPr>
          <w:p w14:paraId="470B4F0D" w14:textId="77777777" w:rsidR="008247BD" w:rsidRDefault="008247BD" w:rsidP="00A438FF">
            <w:pPr>
              <w:spacing w:before="0" w:after="0" w:line="312" w:lineRule="auto"/>
              <w:rPr>
                <w:szCs w:val="26"/>
              </w:rPr>
            </w:pPr>
          </w:p>
          <w:p w14:paraId="390F8E41" w14:textId="111963DC" w:rsidR="0060269E" w:rsidRPr="00A438FF" w:rsidRDefault="008247BD" w:rsidP="00A438FF">
            <w:pPr>
              <w:spacing w:before="0" w:after="0" w:line="312" w:lineRule="auto"/>
              <w:rPr>
                <w:szCs w:val="26"/>
              </w:rPr>
            </w:pPr>
            <w:r w:rsidRPr="008247BD">
              <w:rPr>
                <w:szCs w:val="26"/>
              </w:rPr>
              <w:t>Tác giả đã chỉnh sửa và hoàn thiện bản thảo theo các góp ý chi tiết n</w:t>
            </w:r>
            <w:r w:rsidR="00545EFF">
              <w:rPr>
                <w:szCs w:val="26"/>
              </w:rPr>
              <w:t>hư</w:t>
            </w:r>
            <w:bookmarkStart w:id="0" w:name="_GoBack"/>
            <w:bookmarkEnd w:id="0"/>
            <w:r w:rsidRPr="008247BD">
              <w:rPr>
                <w:szCs w:val="26"/>
              </w:rPr>
              <w:t xml:space="preserve"> trên</w:t>
            </w:r>
            <w:r>
              <w:rPr>
                <w:szCs w:val="26"/>
              </w:rPr>
              <w:t>.</w:t>
            </w:r>
          </w:p>
        </w:tc>
        <w:tc>
          <w:tcPr>
            <w:tcW w:w="1124" w:type="dxa"/>
          </w:tcPr>
          <w:p w14:paraId="24D11CE5" w14:textId="77777777" w:rsidR="0060269E" w:rsidRPr="00A438FF" w:rsidRDefault="0060269E" w:rsidP="00A438FF">
            <w:pPr>
              <w:spacing w:before="0" w:after="0" w:line="312" w:lineRule="auto"/>
              <w:jc w:val="center"/>
              <w:rPr>
                <w:szCs w:val="26"/>
              </w:rPr>
            </w:pPr>
          </w:p>
        </w:tc>
      </w:tr>
    </w:tbl>
    <w:p w14:paraId="748FD50D" w14:textId="7C7882D7" w:rsidR="00D63DDD" w:rsidRPr="00B83F50" w:rsidRDefault="00D63DDD" w:rsidP="00367163">
      <w:pPr>
        <w:spacing w:before="0" w:after="0" w:line="360" w:lineRule="auto"/>
        <w:rPr>
          <w:rFonts w:cs="Times New Roman"/>
          <w:b/>
        </w:rPr>
      </w:pPr>
    </w:p>
    <w:sectPr w:rsidR="00D63DDD" w:rsidRPr="00B83F50"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A67BA"/>
    <w:multiLevelType w:val="hybridMultilevel"/>
    <w:tmpl w:val="3334BD04"/>
    <w:lvl w:ilvl="0" w:tplc="61D6AA1E">
      <w:start w:val="1"/>
      <w:numFmt w:val="decimal"/>
      <w:lvlText w:val="%1."/>
      <w:lvlJc w:val="left"/>
      <w:pPr>
        <w:ind w:left="720" w:hanging="360"/>
      </w:pPr>
      <w:rPr>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ECC"/>
    <w:rsid w:val="00001918"/>
    <w:rsid w:val="000029FF"/>
    <w:rsid w:val="000049A1"/>
    <w:rsid w:val="000148EC"/>
    <w:rsid w:val="0002182B"/>
    <w:rsid w:val="000223D9"/>
    <w:rsid w:val="00026A01"/>
    <w:rsid w:val="00027346"/>
    <w:rsid w:val="000407EA"/>
    <w:rsid w:val="00066FA6"/>
    <w:rsid w:val="00086C31"/>
    <w:rsid w:val="00091E64"/>
    <w:rsid w:val="000A6A54"/>
    <w:rsid w:val="000B522B"/>
    <w:rsid w:val="000E7BB1"/>
    <w:rsid w:val="00102E4E"/>
    <w:rsid w:val="00116AC3"/>
    <w:rsid w:val="001206D9"/>
    <w:rsid w:val="00121619"/>
    <w:rsid w:val="00135AC5"/>
    <w:rsid w:val="00143902"/>
    <w:rsid w:val="001502FB"/>
    <w:rsid w:val="00152718"/>
    <w:rsid w:val="001570AA"/>
    <w:rsid w:val="0016221A"/>
    <w:rsid w:val="00165C47"/>
    <w:rsid w:val="0018103B"/>
    <w:rsid w:val="0018213D"/>
    <w:rsid w:val="001A166B"/>
    <w:rsid w:val="001A5F99"/>
    <w:rsid w:val="001A67CE"/>
    <w:rsid w:val="001B301B"/>
    <w:rsid w:val="001D5A4A"/>
    <w:rsid w:val="001E729A"/>
    <w:rsid w:val="00201813"/>
    <w:rsid w:val="0020662D"/>
    <w:rsid w:val="0022056E"/>
    <w:rsid w:val="00224E12"/>
    <w:rsid w:val="002254A9"/>
    <w:rsid w:val="00231E84"/>
    <w:rsid w:val="002368CD"/>
    <w:rsid w:val="0024119B"/>
    <w:rsid w:val="002514AC"/>
    <w:rsid w:val="00251CAD"/>
    <w:rsid w:val="00255CCB"/>
    <w:rsid w:val="00261373"/>
    <w:rsid w:val="00274C1B"/>
    <w:rsid w:val="00275304"/>
    <w:rsid w:val="00277D8D"/>
    <w:rsid w:val="00291217"/>
    <w:rsid w:val="002A2048"/>
    <w:rsid w:val="002B52C0"/>
    <w:rsid w:val="002C2346"/>
    <w:rsid w:val="002D72CE"/>
    <w:rsid w:val="002E59C4"/>
    <w:rsid w:val="002F2507"/>
    <w:rsid w:val="002F65A7"/>
    <w:rsid w:val="00301DFD"/>
    <w:rsid w:val="0032009D"/>
    <w:rsid w:val="00321A4B"/>
    <w:rsid w:val="00324D9A"/>
    <w:rsid w:val="00332210"/>
    <w:rsid w:val="00332469"/>
    <w:rsid w:val="00333DF7"/>
    <w:rsid w:val="00334FBB"/>
    <w:rsid w:val="00335420"/>
    <w:rsid w:val="003419E4"/>
    <w:rsid w:val="003448EB"/>
    <w:rsid w:val="00346854"/>
    <w:rsid w:val="00346D52"/>
    <w:rsid w:val="00361D55"/>
    <w:rsid w:val="00367163"/>
    <w:rsid w:val="00386240"/>
    <w:rsid w:val="00392001"/>
    <w:rsid w:val="00392684"/>
    <w:rsid w:val="003A2C70"/>
    <w:rsid w:val="003B52FD"/>
    <w:rsid w:val="003C490C"/>
    <w:rsid w:val="003C72B1"/>
    <w:rsid w:val="003D6E3E"/>
    <w:rsid w:val="003E4A8F"/>
    <w:rsid w:val="003E4DFC"/>
    <w:rsid w:val="003F09B2"/>
    <w:rsid w:val="00414460"/>
    <w:rsid w:val="00422F8D"/>
    <w:rsid w:val="004344C5"/>
    <w:rsid w:val="00454ECC"/>
    <w:rsid w:val="00455666"/>
    <w:rsid w:val="00461E64"/>
    <w:rsid w:val="00463443"/>
    <w:rsid w:val="004760D1"/>
    <w:rsid w:val="004840BC"/>
    <w:rsid w:val="00485C4F"/>
    <w:rsid w:val="00493902"/>
    <w:rsid w:val="00496E15"/>
    <w:rsid w:val="004A1296"/>
    <w:rsid w:val="004A48D9"/>
    <w:rsid w:val="004A4E8F"/>
    <w:rsid w:val="004B0F67"/>
    <w:rsid w:val="004B7827"/>
    <w:rsid w:val="004D02C9"/>
    <w:rsid w:val="004D4681"/>
    <w:rsid w:val="004E2437"/>
    <w:rsid w:val="004E26CA"/>
    <w:rsid w:val="004E50CE"/>
    <w:rsid w:val="004F4796"/>
    <w:rsid w:val="004F7CD0"/>
    <w:rsid w:val="00512D79"/>
    <w:rsid w:val="005208A9"/>
    <w:rsid w:val="00527351"/>
    <w:rsid w:val="00532806"/>
    <w:rsid w:val="00541108"/>
    <w:rsid w:val="00545EFF"/>
    <w:rsid w:val="0055069E"/>
    <w:rsid w:val="00562FCF"/>
    <w:rsid w:val="0058203C"/>
    <w:rsid w:val="005835F5"/>
    <w:rsid w:val="00591CE3"/>
    <w:rsid w:val="00592485"/>
    <w:rsid w:val="005A0EC7"/>
    <w:rsid w:val="005A1531"/>
    <w:rsid w:val="005A6702"/>
    <w:rsid w:val="005B1D48"/>
    <w:rsid w:val="005B4745"/>
    <w:rsid w:val="005B55B7"/>
    <w:rsid w:val="005C55E5"/>
    <w:rsid w:val="005E1492"/>
    <w:rsid w:val="005E4922"/>
    <w:rsid w:val="005E6A15"/>
    <w:rsid w:val="005E7D55"/>
    <w:rsid w:val="0060269E"/>
    <w:rsid w:val="00610C07"/>
    <w:rsid w:val="006203FB"/>
    <w:rsid w:val="00624E31"/>
    <w:rsid w:val="00635ED0"/>
    <w:rsid w:val="006543DC"/>
    <w:rsid w:val="0065508F"/>
    <w:rsid w:val="00664A5A"/>
    <w:rsid w:val="00666283"/>
    <w:rsid w:val="00671A39"/>
    <w:rsid w:val="0067361D"/>
    <w:rsid w:val="0067368E"/>
    <w:rsid w:val="00686DD7"/>
    <w:rsid w:val="00687FE2"/>
    <w:rsid w:val="006907AD"/>
    <w:rsid w:val="00690AB4"/>
    <w:rsid w:val="00695160"/>
    <w:rsid w:val="00696A94"/>
    <w:rsid w:val="006A47C7"/>
    <w:rsid w:val="006A4A2E"/>
    <w:rsid w:val="006A4D85"/>
    <w:rsid w:val="006C0F26"/>
    <w:rsid w:val="006C4E55"/>
    <w:rsid w:val="006C69B6"/>
    <w:rsid w:val="006D08E8"/>
    <w:rsid w:val="006D0E44"/>
    <w:rsid w:val="006F6C60"/>
    <w:rsid w:val="00724323"/>
    <w:rsid w:val="007258E5"/>
    <w:rsid w:val="00725D86"/>
    <w:rsid w:val="0074033A"/>
    <w:rsid w:val="00741AB4"/>
    <w:rsid w:val="00757503"/>
    <w:rsid w:val="00774654"/>
    <w:rsid w:val="00787B44"/>
    <w:rsid w:val="007A730C"/>
    <w:rsid w:val="007B022E"/>
    <w:rsid w:val="007C2E9C"/>
    <w:rsid w:val="007C3F64"/>
    <w:rsid w:val="007D38C7"/>
    <w:rsid w:val="007D69D5"/>
    <w:rsid w:val="007F11F6"/>
    <w:rsid w:val="007F37C2"/>
    <w:rsid w:val="00801CAD"/>
    <w:rsid w:val="0080454E"/>
    <w:rsid w:val="00805D15"/>
    <w:rsid w:val="008066C5"/>
    <w:rsid w:val="00817A1F"/>
    <w:rsid w:val="00821B02"/>
    <w:rsid w:val="008247BD"/>
    <w:rsid w:val="008253AA"/>
    <w:rsid w:val="00830591"/>
    <w:rsid w:val="00832009"/>
    <w:rsid w:val="008352EC"/>
    <w:rsid w:val="008401D8"/>
    <w:rsid w:val="00842B0A"/>
    <w:rsid w:val="00845AE6"/>
    <w:rsid w:val="008518F1"/>
    <w:rsid w:val="00852AF8"/>
    <w:rsid w:val="00853452"/>
    <w:rsid w:val="00857728"/>
    <w:rsid w:val="00860F8B"/>
    <w:rsid w:val="00871F0D"/>
    <w:rsid w:val="00886B4A"/>
    <w:rsid w:val="00893EA9"/>
    <w:rsid w:val="008942C9"/>
    <w:rsid w:val="00897C5C"/>
    <w:rsid w:val="008A239D"/>
    <w:rsid w:val="008A27C2"/>
    <w:rsid w:val="008A46AA"/>
    <w:rsid w:val="008B058F"/>
    <w:rsid w:val="008B08A0"/>
    <w:rsid w:val="008B309C"/>
    <w:rsid w:val="008C0BE4"/>
    <w:rsid w:val="008E4FC0"/>
    <w:rsid w:val="008F78DA"/>
    <w:rsid w:val="00901093"/>
    <w:rsid w:val="00912238"/>
    <w:rsid w:val="0092123E"/>
    <w:rsid w:val="00922848"/>
    <w:rsid w:val="00930E41"/>
    <w:rsid w:val="0093102E"/>
    <w:rsid w:val="00942751"/>
    <w:rsid w:val="0094700C"/>
    <w:rsid w:val="0095035E"/>
    <w:rsid w:val="00950536"/>
    <w:rsid w:val="009607D9"/>
    <w:rsid w:val="00960F79"/>
    <w:rsid w:val="00962523"/>
    <w:rsid w:val="00972FEB"/>
    <w:rsid w:val="009809BE"/>
    <w:rsid w:val="00993875"/>
    <w:rsid w:val="009A6CE6"/>
    <w:rsid w:val="009B0795"/>
    <w:rsid w:val="009C3EBD"/>
    <w:rsid w:val="009C6FCE"/>
    <w:rsid w:val="009F5E7A"/>
    <w:rsid w:val="009F66F7"/>
    <w:rsid w:val="00A0664F"/>
    <w:rsid w:val="00A15540"/>
    <w:rsid w:val="00A22AA5"/>
    <w:rsid w:val="00A25022"/>
    <w:rsid w:val="00A27623"/>
    <w:rsid w:val="00A3127C"/>
    <w:rsid w:val="00A36AB9"/>
    <w:rsid w:val="00A438FF"/>
    <w:rsid w:val="00A460B0"/>
    <w:rsid w:val="00A510D8"/>
    <w:rsid w:val="00A70F25"/>
    <w:rsid w:val="00A77CFB"/>
    <w:rsid w:val="00A872CD"/>
    <w:rsid w:val="00A91E3E"/>
    <w:rsid w:val="00AA13C1"/>
    <w:rsid w:val="00AB2C6D"/>
    <w:rsid w:val="00AC0406"/>
    <w:rsid w:val="00AD0785"/>
    <w:rsid w:val="00AF46A7"/>
    <w:rsid w:val="00B10228"/>
    <w:rsid w:val="00B118DA"/>
    <w:rsid w:val="00B32064"/>
    <w:rsid w:val="00B34C4A"/>
    <w:rsid w:val="00B4144C"/>
    <w:rsid w:val="00B54F30"/>
    <w:rsid w:val="00B56785"/>
    <w:rsid w:val="00B62126"/>
    <w:rsid w:val="00B63467"/>
    <w:rsid w:val="00B65F0F"/>
    <w:rsid w:val="00B72C51"/>
    <w:rsid w:val="00B76475"/>
    <w:rsid w:val="00B77F02"/>
    <w:rsid w:val="00B836EB"/>
    <w:rsid w:val="00B83F50"/>
    <w:rsid w:val="00B86F23"/>
    <w:rsid w:val="00B94115"/>
    <w:rsid w:val="00B96CAE"/>
    <w:rsid w:val="00BA78DF"/>
    <w:rsid w:val="00BB03C6"/>
    <w:rsid w:val="00BB05C2"/>
    <w:rsid w:val="00BB1BDE"/>
    <w:rsid w:val="00BB5214"/>
    <w:rsid w:val="00BC148C"/>
    <w:rsid w:val="00BC4005"/>
    <w:rsid w:val="00BC6B37"/>
    <w:rsid w:val="00BD6B3A"/>
    <w:rsid w:val="00BF4D8F"/>
    <w:rsid w:val="00C071D1"/>
    <w:rsid w:val="00C24268"/>
    <w:rsid w:val="00C36423"/>
    <w:rsid w:val="00C36E60"/>
    <w:rsid w:val="00C37E17"/>
    <w:rsid w:val="00C5316D"/>
    <w:rsid w:val="00C563CB"/>
    <w:rsid w:val="00C64D21"/>
    <w:rsid w:val="00C755C8"/>
    <w:rsid w:val="00C87421"/>
    <w:rsid w:val="00C95759"/>
    <w:rsid w:val="00CA5D95"/>
    <w:rsid w:val="00CC32B6"/>
    <w:rsid w:val="00CD13FA"/>
    <w:rsid w:val="00CD412A"/>
    <w:rsid w:val="00CD565E"/>
    <w:rsid w:val="00CE1391"/>
    <w:rsid w:val="00CE48C0"/>
    <w:rsid w:val="00CF7134"/>
    <w:rsid w:val="00D069B1"/>
    <w:rsid w:val="00D25A16"/>
    <w:rsid w:val="00D5026A"/>
    <w:rsid w:val="00D56705"/>
    <w:rsid w:val="00D63DDD"/>
    <w:rsid w:val="00D66B6B"/>
    <w:rsid w:val="00D773A1"/>
    <w:rsid w:val="00D818F0"/>
    <w:rsid w:val="00D85543"/>
    <w:rsid w:val="00D91D8E"/>
    <w:rsid w:val="00DA0C2C"/>
    <w:rsid w:val="00DA147D"/>
    <w:rsid w:val="00DA4CF3"/>
    <w:rsid w:val="00DB033F"/>
    <w:rsid w:val="00DB108D"/>
    <w:rsid w:val="00DD0948"/>
    <w:rsid w:val="00DD0B41"/>
    <w:rsid w:val="00DD0DBC"/>
    <w:rsid w:val="00E03ED7"/>
    <w:rsid w:val="00E04CDC"/>
    <w:rsid w:val="00E12A2C"/>
    <w:rsid w:val="00E26FD4"/>
    <w:rsid w:val="00E30C57"/>
    <w:rsid w:val="00E41B92"/>
    <w:rsid w:val="00E47245"/>
    <w:rsid w:val="00E50436"/>
    <w:rsid w:val="00E62904"/>
    <w:rsid w:val="00E6314A"/>
    <w:rsid w:val="00E63A46"/>
    <w:rsid w:val="00E7054F"/>
    <w:rsid w:val="00E70E39"/>
    <w:rsid w:val="00E73442"/>
    <w:rsid w:val="00E804E8"/>
    <w:rsid w:val="00E96AF3"/>
    <w:rsid w:val="00EB0157"/>
    <w:rsid w:val="00EB2D51"/>
    <w:rsid w:val="00EB312E"/>
    <w:rsid w:val="00ED470E"/>
    <w:rsid w:val="00EF5BA1"/>
    <w:rsid w:val="00EF6E93"/>
    <w:rsid w:val="00F0668E"/>
    <w:rsid w:val="00F13940"/>
    <w:rsid w:val="00F21AE9"/>
    <w:rsid w:val="00F323F3"/>
    <w:rsid w:val="00F41B7C"/>
    <w:rsid w:val="00F41D98"/>
    <w:rsid w:val="00F452B8"/>
    <w:rsid w:val="00F66628"/>
    <w:rsid w:val="00F70BCB"/>
    <w:rsid w:val="00F7531B"/>
    <w:rsid w:val="00F756A3"/>
    <w:rsid w:val="00F902F6"/>
    <w:rsid w:val="00F9468D"/>
    <w:rsid w:val="00FA39EB"/>
    <w:rsid w:val="00FC0FA1"/>
    <w:rsid w:val="00FC3B57"/>
    <w:rsid w:val="00FC432B"/>
    <w:rsid w:val="00FD22C6"/>
    <w:rsid w:val="00FE022A"/>
    <w:rsid w:val="00FE1B5F"/>
    <w:rsid w:val="00FF0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B0CFF"/>
  <w15:chartTrackingRefBased/>
  <w15:docId w15:val="{30785ED2-1974-43D3-9E3F-981077DC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table" w:styleId="TableGrid">
    <w:name w:val="Table Grid"/>
    <w:basedOn w:val="TableNormal"/>
    <w:uiPriority w:val="39"/>
    <w:rsid w:val="00454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52C0"/>
    <w:rPr>
      <w:color w:val="0563C1" w:themeColor="hyperlink"/>
      <w:u w:val="single"/>
    </w:rPr>
  </w:style>
  <w:style w:type="character" w:styleId="UnresolvedMention">
    <w:name w:val="Unresolved Mention"/>
    <w:basedOn w:val="DefaultParagraphFont"/>
    <w:uiPriority w:val="99"/>
    <w:semiHidden/>
    <w:unhideWhenUsed/>
    <w:rsid w:val="002B52C0"/>
    <w:rPr>
      <w:color w:val="605E5C"/>
      <w:shd w:val="clear" w:color="auto" w:fill="E1DFDD"/>
    </w:rPr>
  </w:style>
  <w:style w:type="paragraph" w:styleId="ListParagraph">
    <w:name w:val="List Paragraph"/>
    <w:basedOn w:val="Normal"/>
    <w:uiPriority w:val="34"/>
    <w:qFormat/>
    <w:rsid w:val="003F09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2569</TotalTime>
  <Pages>5</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78</cp:revision>
  <cp:lastPrinted>2024-03-23T10:20:00Z</cp:lastPrinted>
  <dcterms:created xsi:type="dcterms:W3CDTF">2024-01-29T18:29:00Z</dcterms:created>
  <dcterms:modified xsi:type="dcterms:W3CDTF">2026-03-07T19:15:00Z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66d02d25313e6c7aee23d41e7ce9688602f72e0369a9be30b5b785b5cc42184a</vt:lpwstr>
  </property>
</Properties>
</file>