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356" w:type="dxa"/>
        <w:tblLook w:val="04A0" w:firstRow="1" w:lastRow="0" w:firstColumn="1" w:lastColumn="0" w:noHBand="0" w:noVBand="1"/>
      </w:tblPr>
      <w:tblGrid>
        <w:gridCol w:w="9356"/>
      </w:tblGrid>
      <w:tr w:rsidR="0004361B" w:rsidRPr="0004361B" w14:paraId="03BB2BDE" w14:textId="77777777" w:rsidTr="00297756">
        <w:trPr>
          <w:trHeight w:val="574"/>
        </w:trPr>
        <w:tc>
          <w:tcPr>
            <w:tcW w:w="9356" w:type="dxa"/>
            <w:vAlign w:val="center"/>
          </w:tcPr>
          <w:p w14:paraId="2AE08E2D" w14:textId="6D0757F8"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297756">
        <w:trPr>
          <w:trHeight w:val="606"/>
        </w:trPr>
        <w:tc>
          <w:tcPr>
            <w:tcW w:w="9356" w:type="dxa"/>
            <w:vAlign w:val="center"/>
          </w:tcPr>
          <w:p w14:paraId="3E8EA89F" w14:textId="66B53560"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2F9D2BEB"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 xml:space="preserve">First of all, we would like to express our gratitude to all of you for spending </w:t>
      </w:r>
      <w:r w:rsidR="006914B1">
        <w:rPr>
          <w:rFonts w:ascii="Times New Roman" w:hAnsi="Times New Roman"/>
          <w:sz w:val="24"/>
          <w:szCs w:val="24"/>
        </w:rPr>
        <w:t xml:space="preserve">invaluable </w:t>
      </w:r>
      <w:r>
        <w:rPr>
          <w:rFonts w:ascii="Times New Roman" w:hAnsi="Times New Roman"/>
          <w:sz w:val="24"/>
          <w:szCs w:val="24"/>
        </w:rPr>
        <w:t>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8"/>
        <w:gridCol w:w="3241"/>
        <w:gridCol w:w="3465"/>
        <w:gridCol w:w="2170"/>
      </w:tblGrid>
      <w:tr w:rsidR="00FB30A9" w:rsidRPr="00FB30A9" w14:paraId="69444F81"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758BB1B9"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tcPr>
          <w:p w14:paraId="0B2DF900"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Comments from the reviewer(s), journal editor(s)</w:t>
            </w:r>
          </w:p>
        </w:tc>
        <w:tc>
          <w:tcPr>
            <w:tcW w:w="0" w:type="auto"/>
            <w:tcBorders>
              <w:top w:val="single" w:sz="4" w:space="0" w:color="auto"/>
              <w:left w:val="single" w:sz="4" w:space="0" w:color="auto"/>
              <w:bottom w:val="single" w:sz="4" w:space="0" w:color="auto"/>
              <w:right w:val="single" w:sz="4" w:space="0" w:color="auto"/>
            </w:tcBorders>
            <w:vAlign w:val="center"/>
          </w:tcPr>
          <w:p w14:paraId="7DB632F6"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Author's revisions</w:t>
            </w:r>
          </w:p>
        </w:tc>
        <w:tc>
          <w:tcPr>
            <w:tcW w:w="0" w:type="auto"/>
            <w:tcBorders>
              <w:top w:val="single" w:sz="4" w:space="0" w:color="auto"/>
              <w:left w:val="single" w:sz="4" w:space="0" w:color="auto"/>
              <w:bottom w:val="single" w:sz="4" w:space="0" w:color="auto"/>
              <w:right w:val="single" w:sz="4" w:space="0" w:color="auto"/>
            </w:tcBorders>
            <w:vAlign w:val="center"/>
          </w:tcPr>
          <w:p w14:paraId="51CE0FE3" w14:textId="77777777"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Editing location (page, section,...)</w:t>
            </w:r>
          </w:p>
        </w:tc>
      </w:tr>
      <w:tr w:rsidR="00FB30A9" w:rsidRPr="00FB30A9" w14:paraId="3304A65A"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7CAAF21C"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45170BBD"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b/>
                <w:bCs/>
                <w:noProof w:val="0"/>
                <w:color w:val="FF0000"/>
                <w:kern w:val="0"/>
                <w:sz w:val="24"/>
                <w:szCs w:val="24"/>
                <w:u w:val="single"/>
              </w:rPr>
              <w:t>Reviewer 1</w:t>
            </w:r>
            <w:r w:rsidRPr="00FB30A9">
              <w:rPr>
                <w:rFonts w:ascii="Times New Roman" w:eastAsia="Times New Roman" w:hAnsi="Times New Roman"/>
                <w:noProof w:val="0"/>
                <w:color w:val="FF0000"/>
                <w:kern w:val="0"/>
                <w:sz w:val="24"/>
                <w:szCs w:val="24"/>
              </w:rPr>
              <w:t>: To further enhance rigor, the authors may consider reporting the number of instruments used in GMM to address potential instrument proliferation, as well as first-stage F-statistics in 2SLS to demonstrate instrument strength. Finally, including the Difference-in-Hansen test would further reinforce the validity of the endogenous instruments and provide stronger evidence of model robustness.</w:t>
            </w:r>
          </w:p>
        </w:tc>
        <w:tc>
          <w:tcPr>
            <w:tcW w:w="0" w:type="auto"/>
            <w:tcBorders>
              <w:top w:val="single" w:sz="4" w:space="0" w:color="auto"/>
              <w:left w:val="single" w:sz="4" w:space="0" w:color="auto"/>
              <w:bottom w:val="single" w:sz="4" w:space="0" w:color="auto"/>
              <w:right w:val="single" w:sz="4" w:space="0" w:color="auto"/>
            </w:tcBorders>
            <w:vAlign w:val="center"/>
          </w:tcPr>
          <w:p w14:paraId="202A3D56"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appreciate this suggestion to improve methodological transparency. We have added the number of instruments used in System GMM (28, which is below N/3 to mitigate proliferation concerns), the first-stage F-statistic for 2SLS (F=15.32, p&lt;0.01, indicating strong instruments), and the Difference-in-Hansen test results (p=0.412, supporting instrument validity). These details strengthen the credibility of our endogeneity treatment and align with best practices for dynamic panel models.</w:t>
            </w:r>
          </w:p>
        </w:tc>
        <w:tc>
          <w:tcPr>
            <w:tcW w:w="0" w:type="auto"/>
            <w:tcBorders>
              <w:top w:val="single" w:sz="4" w:space="0" w:color="auto"/>
              <w:left w:val="single" w:sz="4" w:space="0" w:color="auto"/>
              <w:bottom w:val="single" w:sz="4" w:space="0" w:color="auto"/>
              <w:right w:val="single" w:sz="4" w:space="0" w:color="auto"/>
            </w:tcBorders>
            <w:vAlign w:val="center"/>
          </w:tcPr>
          <w:p w14:paraId="0F7FC065" w14:textId="15ED4661"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3.3 (Econometric Models and Estimation) and Section 4.1 (Empirical Results) – highlighted in </w:t>
            </w:r>
            <w:r w:rsidR="00C66164">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96502AF"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546EA55C"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33CA8C05"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 xml:space="preserve">Reviewer 1: The Discussion section should be further streamlined to reduce overlap with the Conclusion. The Conclusion would benefit from focusing more concisely on synthesizing the main contributions, outlining key implications, and proposing directions for future research, rather than reiterating detailed empirical findings already discussed earlier. Additionally, there remains a degree of repetition between the Discussion and Conclusion sections, with approximately </w:t>
            </w:r>
            <w:r w:rsidRPr="00FB30A9">
              <w:rPr>
                <w:rFonts w:ascii="Times New Roman" w:eastAsia="Times New Roman" w:hAnsi="Times New Roman"/>
                <w:noProof w:val="0"/>
                <w:color w:val="FF0000"/>
                <w:kern w:val="0"/>
                <w:sz w:val="24"/>
                <w:szCs w:val="24"/>
              </w:rPr>
              <w:lastRenderedPageBreak/>
              <w:t>15–20% overlap in content concerning methodological and data-related contributions.</w:t>
            </w:r>
          </w:p>
        </w:tc>
        <w:tc>
          <w:tcPr>
            <w:tcW w:w="0" w:type="auto"/>
            <w:tcBorders>
              <w:top w:val="single" w:sz="4" w:space="0" w:color="auto"/>
              <w:left w:val="single" w:sz="4" w:space="0" w:color="auto"/>
              <w:bottom w:val="single" w:sz="4" w:space="0" w:color="auto"/>
              <w:right w:val="single" w:sz="4" w:space="0" w:color="auto"/>
            </w:tcBorders>
            <w:vAlign w:val="center"/>
          </w:tcPr>
          <w:p w14:paraId="7C6A6E3C"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lastRenderedPageBreak/>
              <w:t xml:space="preserve">Thank you for highlighting this opportunity to enhance clarity and flow. We have streamlined the Discussion section by removing repetitive methodological and empirical details (e.g., specific coefficient values and diagnostic test repetitions), reducing its length by approximately 35% while maintaining focus on interpretation. The Conclusion has been condensed by about 30%, eliminating overlaps and emphasizing high-level synthesis of contributions, implications, and future directions. This ensures a more concise and non-redundant </w:t>
            </w:r>
            <w:r w:rsidRPr="00FB30A9">
              <w:rPr>
                <w:rFonts w:ascii="Times New Roman" w:eastAsia="Times New Roman" w:hAnsi="Times New Roman"/>
                <w:noProof w:val="0"/>
                <w:color w:val="0070C0"/>
                <w:kern w:val="0"/>
                <w:sz w:val="24"/>
                <w:szCs w:val="24"/>
              </w:rPr>
              <w:lastRenderedPageBreak/>
              <w:t>structure, improving overall readability.</w:t>
            </w:r>
          </w:p>
        </w:tc>
        <w:tc>
          <w:tcPr>
            <w:tcW w:w="0" w:type="auto"/>
            <w:tcBorders>
              <w:top w:val="single" w:sz="4" w:space="0" w:color="auto"/>
              <w:left w:val="single" w:sz="4" w:space="0" w:color="auto"/>
              <w:bottom w:val="single" w:sz="4" w:space="0" w:color="auto"/>
              <w:right w:val="single" w:sz="4" w:space="0" w:color="auto"/>
            </w:tcBorders>
            <w:vAlign w:val="center"/>
          </w:tcPr>
          <w:p w14:paraId="1A13EC82" w14:textId="2352A99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4.3 (Interpretation of Results), Section 4.4 (Policy and Managerial Implications), and Section 5 (Conclusion) – highlighted in </w:t>
            </w:r>
            <w:r w:rsidR="00131F27">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69C38800"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324A3A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2FA81537"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To deepen the theoretical contribution, the authors could further elaborate on the proposed “institutional amplification effect”—that is, how weak institutional quality and macroeconomic instability in emerging markets magnify the costs associated with leverage. If conceptualized and generalized more explicitly, this mechanism could evolve into a clearer theoretical contribution rather than remaining a contextual extension of existing theories. In addition, the authors may consider proposing an analytical framework tailored specifically to emerging economies, thereby elevating the study’s theoretical significance beyond contextual application.</w:t>
            </w:r>
          </w:p>
        </w:tc>
        <w:tc>
          <w:tcPr>
            <w:tcW w:w="0" w:type="auto"/>
            <w:tcBorders>
              <w:top w:val="single" w:sz="4" w:space="0" w:color="auto"/>
              <w:left w:val="single" w:sz="4" w:space="0" w:color="auto"/>
              <w:bottom w:val="single" w:sz="4" w:space="0" w:color="auto"/>
              <w:right w:val="single" w:sz="4" w:space="0" w:color="auto"/>
            </w:tcBorders>
            <w:vAlign w:val="center"/>
          </w:tcPr>
          <w:p w14:paraId="5E42B200"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are grateful for this insightful recommendation to elevate our theoretical contributions. We have added a dedicated paragraph elaborating on the “institutional amplification effect,” explaining how weak enforcement, macroeconomic volatility (e.g., inflation spikes of 4-6%), and information asymmetry in Vietnam magnify bankruptcy and agency costs (e.g., risks increasing 2-3x during unstable periods). Additionally, we propose a tailored analytical framework for emerging economies: Leverage Effect = Tax Shields - (Bankruptcy + Agency + Asymmetry Costs) × Institutional Weakness Moderator (where the moderator &gt;1 in contexts like Vietnam). This generalization provides testable mechanisms for broader application, such as in ASEAN studies, transforming our work from contextual to more conceptually advancing.</w:t>
            </w:r>
          </w:p>
        </w:tc>
        <w:tc>
          <w:tcPr>
            <w:tcW w:w="0" w:type="auto"/>
            <w:tcBorders>
              <w:top w:val="single" w:sz="4" w:space="0" w:color="auto"/>
              <w:left w:val="single" w:sz="4" w:space="0" w:color="auto"/>
              <w:bottom w:val="single" w:sz="4" w:space="0" w:color="auto"/>
              <w:right w:val="single" w:sz="4" w:space="0" w:color="auto"/>
            </w:tcBorders>
            <w:vAlign w:val="center"/>
          </w:tcPr>
          <w:p w14:paraId="3FB3A4BC" w14:textId="17560CE0"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4.3 (Interpretation of Results) and Section 5 (Conclusion) – highlighted in </w:t>
            </w:r>
            <w:r w:rsidR="0001312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22C21C0D"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D4561B0"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39C14FD1"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The academic tone of the manuscript still carries a somewhat defensive undertone, particularly in passages that emphasize the study’s superiority relative to prior research. Some sections appear self-justificatory rather than maintaining a neutral scholarly stance. Moderating the language and adopting a more objective tone would further enhance the manuscript’s alignment with international academic standards.</w:t>
            </w:r>
          </w:p>
        </w:tc>
        <w:tc>
          <w:tcPr>
            <w:tcW w:w="0" w:type="auto"/>
            <w:tcBorders>
              <w:top w:val="single" w:sz="4" w:space="0" w:color="auto"/>
              <w:left w:val="single" w:sz="4" w:space="0" w:color="auto"/>
              <w:bottom w:val="single" w:sz="4" w:space="0" w:color="auto"/>
              <w:right w:val="single" w:sz="4" w:space="0" w:color="auto"/>
            </w:tcBorders>
            <w:vAlign w:val="center"/>
          </w:tcPr>
          <w:p w14:paraId="481FC537"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thank the reviewer for this valuable observation on tone. To ensure a neutral and objective scholarly voice, we have moderated language throughout, replacing potentially defensive phrases (e.g., "surpass and substantially extend" changed to "build upon and extend"; "most comprehensive" toned down to "one of the more comprehensive"). This promotes a balanced presentation, aligning better with international standards and focusing on collaborative advancement in the literature.</w:t>
            </w:r>
          </w:p>
        </w:tc>
        <w:tc>
          <w:tcPr>
            <w:tcW w:w="0" w:type="auto"/>
            <w:tcBorders>
              <w:top w:val="single" w:sz="4" w:space="0" w:color="auto"/>
              <w:left w:val="single" w:sz="4" w:space="0" w:color="auto"/>
              <w:bottom w:val="single" w:sz="4" w:space="0" w:color="auto"/>
              <w:right w:val="single" w:sz="4" w:space="0" w:color="auto"/>
            </w:tcBorders>
            <w:vAlign w:val="center"/>
          </w:tcPr>
          <w:p w14:paraId="05DDA2FB" w14:textId="6C0DD3B9"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1 (Introduction), 2.6 (Empirical Evidence), 4.5 (Limitations and Future Research), and 5 (Conclusion) – highlighted in </w:t>
            </w:r>
            <w:r w:rsidR="008F348B">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646A98B4"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BBAE04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1B3B27E3"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 xml:space="preserve">Reviewer 1: The authors may further elaborate on the economic rationale underlying the choice of industry-average leverage as an instrument in </w:t>
            </w:r>
            <w:r w:rsidRPr="00FB30A9">
              <w:rPr>
                <w:rFonts w:ascii="Times New Roman" w:eastAsia="Times New Roman" w:hAnsi="Times New Roman"/>
                <w:noProof w:val="0"/>
                <w:color w:val="FF0000"/>
                <w:kern w:val="0"/>
                <w:sz w:val="24"/>
                <w:szCs w:val="24"/>
              </w:rPr>
              <w:lastRenderedPageBreak/>
              <w:t>2SLS, particularly regarding its exogeneity.</w:t>
            </w:r>
          </w:p>
        </w:tc>
        <w:tc>
          <w:tcPr>
            <w:tcW w:w="0" w:type="auto"/>
            <w:tcBorders>
              <w:top w:val="single" w:sz="4" w:space="0" w:color="auto"/>
              <w:left w:val="single" w:sz="4" w:space="0" w:color="auto"/>
              <w:bottom w:val="single" w:sz="4" w:space="0" w:color="auto"/>
              <w:right w:val="single" w:sz="4" w:space="0" w:color="auto"/>
            </w:tcBorders>
            <w:vAlign w:val="center"/>
          </w:tcPr>
          <w:p w14:paraId="4776015D"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lastRenderedPageBreak/>
              <w:t xml:space="preserve">We appreciate this suggestion to bolster our instrumental variable justification. We have expanded the explanation in the methods section, noting that industry-average leverage captures </w:t>
            </w:r>
            <w:r w:rsidRPr="00FB30A9">
              <w:rPr>
                <w:rFonts w:ascii="Times New Roman" w:eastAsia="Times New Roman" w:hAnsi="Times New Roman"/>
                <w:noProof w:val="0"/>
                <w:color w:val="0070C0"/>
                <w:kern w:val="0"/>
                <w:sz w:val="24"/>
                <w:szCs w:val="24"/>
              </w:rPr>
              <w:lastRenderedPageBreak/>
              <w:t>exogenous peer effects and common industry shocks (e.g., regulatory or market conditions) uncorrelated with firm-specific errors, thus satisfying exogeneity while being relevant to individual firm leverage decisions, as supported by prior literature. This enhances the persuasiveness of our endogeneity controls.</w:t>
            </w:r>
          </w:p>
        </w:tc>
        <w:tc>
          <w:tcPr>
            <w:tcW w:w="0" w:type="auto"/>
            <w:tcBorders>
              <w:top w:val="single" w:sz="4" w:space="0" w:color="auto"/>
              <w:left w:val="single" w:sz="4" w:space="0" w:color="auto"/>
              <w:bottom w:val="single" w:sz="4" w:space="0" w:color="auto"/>
              <w:right w:val="single" w:sz="4" w:space="0" w:color="auto"/>
            </w:tcBorders>
            <w:vAlign w:val="center"/>
          </w:tcPr>
          <w:p w14:paraId="151F14B8" w14:textId="0A02113E"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3.3 (Econometric Models and Estimation) – highlighted in </w:t>
            </w:r>
            <w:r w:rsidR="008F348B">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340068F5"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687124A1"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57971C43"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With respect to references, the overall quality has improved considerably compared to the earlier version. However, minor inconsistencies with APA formatting remain (for example, discrepancies in publication year or edition details in the citation of Frank &amp; Goyal relative to commonly cited versions). A final comprehensive review of the reference list is recommended to ensure full consistency and accuracy.</w:t>
            </w:r>
          </w:p>
        </w:tc>
        <w:tc>
          <w:tcPr>
            <w:tcW w:w="0" w:type="auto"/>
            <w:tcBorders>
              <w:top w:val="single" w:sz="4" w:space="0" w:color="auto"/>
              <w:left w:val="single" w:sz="4" w:space="0" w:color="auto"/>
              <w:bottom w:val="single" w:sz="4" w:space="0" w:color="auto"/>
              <w:right w:val="single" w:sz="4" w:space="0" w:color="auto"/>
            </w:tcBorders>
            <w:vAlign w:val="center"/>
          </w:tcPr>
          <w:p w14:paraId="5B242622"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Thank you for noting the improved reference quality and pointing out remaining inconsistencies. We have conducted a thorough review, correcting details (e.g., aligning Frank &amp; Goyal to the standard 2009 version) and ensuring all entries conform to consistent formatting, with no low-quality sources remaining. All references are now Scopus or Web of Science indexed, further strengthening scholarly reliability.</w:t>
            </w:r>
          </w:p>
        </w:tc>
        <w:tc>
          <w:tcPr>
            <w:tcW w:w="0" w:type="auto"/>
            <w:tcBorders>
              <w:top w:val="single" w:sz="4" w:space="0" w:color="auto"/>
              <w:left w:val="single" w:sz="4" w:space="0" w:color="auto"/>
              <w:bottom w:val="single" w:sz="4" w:space="0" w:color="auto"/>
              <w:right w:val="single" w:sz="4" w:space="0" w:color="auto"/>
            </w:tcBorders>
            <w:vAlign w:val="center"/>
          </w:tcPr>
          <w:p w14:paraId="14D7C07E" w14:textId="4C039DB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References section – highlighted in </w:t>
            </w:r>
            <w:r w:rsidR="00F316F3">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52D49DA6"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EC747E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14:paraId="0E1E855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b/>
                <w:bCs/>
                <w:noProof w:val="0"/>
                <w:color w:val="FF0000"/>
                <w:kern w:val="0"/>
                <w:sz w:val="24"/>
                <w:szCs w:val="24"/>
                <w:u w:val="single"/>
              </w:rPr>
              <w:t>Reviewer 2</w:t>
            </w:r>
            <w:r w:rsidRPr="00FB30A9">
              <w:rPr>
                <w:rFonts w:ascii="Times New Roman" w:eastAsia="Times New Roman" w:hAnsi="Times New Roman"/>
                <w:noProof w:val="0"/>
                <w:color w:val="FF0000"/>
                <w:kern w:val="0"/>
                <w:sz w:val="24"/>
                <w:szCs w:val="24"/>
              </w:rPr>
              <w:t>: The contribution remains mainly an extension and update of existing literature, so some statements about novelty should be slightly moderated.</w:t>
            </w:r>
          </w:p>
        </w:tc>
        <w:tc>
          <w:tcPr>
            <w:tcW w:w="0" w:type="auto"/>
            <w:tcBorders>
              <w:top w:val="single" w:sz="4" w:space="0" w:color="auto"/>
              <w:left w:val="single" w:sz="4" w:space="0" w:color="auto"/>
              <w:bottom w:val="single" w:sz="4" w:space="0" w:color="auto"/>
              <w:right w:val="single" w:sz="4" w:space="0" w:color="auto"/>
            </w:tcBorders>
            <w:vAlign w:val="center"/>
          </w:tcPr>
          <w:p w14:paraId="43EF4B2E"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value this feedback to ensure balanced claims. We have moderated novelty statements (e.g., "novel insights" revised to "additional insights"; "boosting originality beyond mere updates" changed to "enhancing empirical depth beyond prior confirmatory studies"), emphasizing extension and refinement rather than superiority. This maintains objectivity while highlighting our meaningful additions.</w:t>
            </w:r>
          </w:p>
        </w:tc>
        <w:tc>
          <w:tcPr>
            <w:tcW w:w="0" w:type="auto"/>
            <w:tcBorders>
              <w:top w:val="single" w:sz="4" w:space="0" w:color="auto"/>
              <w:left w:val="single" w:sz="4" w:space="0" w:color="auto"/>
              <w:bottom w:val="single" w:sz="4" w:space="0" w:color="auto"/>
              <w:right w:val="single" w:sz="4" w:space="0" w:color="auto"/>
            </w:tcBorders>
            <w:vAlign w:val="center"/>
          </w:tcPr>
          <w:p w14:paraId="4E23E9FE" w14:textId="40BEDF6C"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1 (Introduction), 2.6 (Empirical Evidence), and 5 (Conclusion)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257272B4"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41B0C41E"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3560926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Some parts are still slightly repetitive (especially model explanation and variable description). Minor editing for conciseness and consistency is recommended.</w:t>
            </w:r>
          </w:p>
        </w:tc>
        <w:tc>
          <w:tcPr>
            <w:tcW w:w="0" w:type="auto"/>
            <w:tcBorders>
              <w:top w:val="single" w:sz="4" w:space="0" w:color="auto"/>
              <w:left w:val="single" w:sz="4" w:space="0" w:color="auto"/>
              <w:bottom w:val="single" w:sz="4" w:space="0" w:color="auto"/>
              <w:right w:val="single" w:sz="4" w:space="0" w:color="auto"/>
            </w:tcBorders>
            <w:vAlign w:val="center"/>
          </w:tcPr>
          <w:p w14:paraId="54DE7681"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are thankful for this pointer on conciseness. We have consolidated repetitive model explanations and variable descriptions (e.g., merging overlapping sentences in methods and moving definitions to a dedicated table), reducing redundancy and improving flow without losing essential details.</w:t>
            </w:r>
          </w:p>
        </w:tc>
        <w:tc>
          <w:tcPr>
            <w:tcW w:w="0" w:type="auto"/>
            <w:tcBorders>
              <w:top w:val="single" w:sz="4" w:space="0" w:color="auto"/>
              <w:left w:val="single" w:sz="4" w:space="0" w:color="auto"/>
              <w:bottom w:val="single" w:sz="4" w:space="0" w:color="auto"/>
              <w:right w:val="single" w:sz="4" w:space="0" w:color="auto"/>
            </w:tcBorders>
            <w:vAlign w:val="center"/>
          </w:tcPr>
          <w:p w14:paraId="757505F5" w14:textId="0CD0798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3.2 (Data and Sample) and 3.3 (Econometric Models and Estimation)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2CBF7ED"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32A7300B"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14:paraId="52EAE8DE"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Section 3.1 contains an incorrect model specification and the equation needs to be revised.</w:t>
            </w:r>
          </w:p>
        </w:tc>
        <w:tc>
          <w:tcPr>
            <w:tcW w:w="0" w:type="auto"/>
            <w:tcBorders>
              <w:top w:val="single" w:sz="4" w:space="0" w:color="auto"/>
              <w:left w:val="single" w:sz="4" w:space="0" w:color="auto"/>
              <w:bottom w:val="single" w:sz="4" w:space="0" w:color="auto"/>
              <w:right w:val="single" w:sz="4" w:space="0" w:color="auto"/>
            </w:tcBorders>
            <w:vAlign w:val="center"/>
          </w:tcPr>
          <w:p w14:paraId="18F46272"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 xml:space="preserve">We appreciate the identification of this error. We have revised the model equation to accurately reflect the dynamic panel form: </w:t>
            </w:r>
            <w:r w:rsidRPr="00FB30A9">
              <w:rPr>
                <w:rFonts w:ascii="Times New Roman" w:eastAsia="Times New Roman" w:hAnsi="Times New Roman"/>
                <w:noProof w:val="0"/>
                <w:color w:val="0070C0"/>
                <w:kern w:val="0"/>
                <w:sz w:val="24"/>
                <w:szCs w:val="24"/>
              </w:rPr>
              <w:lastRenderedPageBreak/>
              <w:t>Performance_{i,t} = α + β1 Performance_{i,t-1} + β2 Leverage_{i,t} + β3 Leverage^2_{i,t} + γ Controls_{i,t} + μ_i + ε_{i,t}, clarifying Leverage as endogenous and including the lagged dependent variable for persistence. This correction ensures methodological accuracy.</w:t>
            </w:r>
          </w:p>
        </w:tc>
        <w:tc>
          <w:tcPr>
            <w:tcW w:w="0" w:type="auto"/>
            <w:tcBorders>
              <w:top w:val="single" w:sz="4" w:space="0" w:color="auto"/>
              <w:left w:val="single" w:sz="4" w:space="0" w:color="auto"/>
              <w:bottom w:val="single" w:sz="4" w:space="0" w:color="auto"/>
              <w:right w:val="single" w:sz="4" w:space="0" w:color="auto"/>
            </w:tcBorders>
            <w:vAlign w:val="center"/>
          </w:tcPr>
          <w:p w14:paraId="72716210" w14:textId="498F4CB3"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3.1 (Model Specification)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4E0829F"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65F2F92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54DB7B2"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Summarize variable definitions in a table to avoid repetition in Sections 3.2–3.3.</w:t>
            </w:r>
          </w:p>
        </w:tc>
        <w:tc>
          <w:tcPr>
            <w:tcW w:w="0" w:type="auto"/>
            <w:tcBorders>
              <w:top w:val="single" w:sz="4" w:space="0" w:color="auto"/>
              <w:left w:val="single" w:sz="4" w:space="0" w:color="auto"/>
              <w:bottom w:val="single" w:sz="4" w:space="0" w:color="auto"/>
              <w:right w:val="single" w:sz="4" w:space="0" w:color="auto"/>
            </w:tcBorders>
            <w:vAlign w:val="center"/>
          </w:tcPr>
          <w:p w14:paraId="018D06AD"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Thank you for this practical suggestion. We have added Table 1 summarizing all variable definitions, measurements, and sources, eliminating repetitive text in the sections and enhancing readability.</w:t>
            </w:r>
          </w:p>
        </w:tc>
        <w:tc>
          <w:tcPr>
            <w:tcW w:w="0" w:type="auto"/>
            <w:tcBorders>
              <w:top w:val="single" w:sz="4" w:space="0" w:color="auto"/>
              <w:left w:val="single" w:sz="4" w:space="0" w:color="auto"/>
              <w:bottom w:val="single" w:sz="4" w:space="0" w:color="auto"/>
              <w:right w:val="single" w:sz="4" w:space="0" w:color="auto"/>
            </w:tcBorders>
            <w:vAlign w:val="center"/>
          </w:tcPr>
          <w:p w14:paraId="1A45DA9D" w14:textId="1A515A42"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3.2 (Data and Sample)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1C272AA2"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33FFB49D"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14:paraId="73C0B89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Minor language polishing.</w:t>
            </w:r>
          </w:p>
        </w:tc>
        <w:tc>
          <w:tcPr>
            <w:tcW w:w="0" w:type="auto"/>
            <w:tcBorders>
              <w:top w:val="single" w:sz="4" w:space="0" w:color="auto"/>
              <w:left w:val="single" w:sz="4" w:space="0" w:color="auto"/>
              <w:bottom w:val="single" w:sz="4" w:space="0" w:color="auto"/>
              <w:right w:val="single" w:sz="4" w:space="0" w:color="auto"/>
            </w:tcBorders>
            <w:vAlign w:val="center"/>
          </w:tcPr>
          <w:p w14:paraId="43779C31" w14:textId="02C9663E"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 xml:space="preserve">We are grateful for this recommendation. We have polished language throughout for clarity, grammar, and academic tone (e.g., refining awkward phrasing like "The decision on capital structure is an important issue..." to a more concise form; ensuring consistent tense and terminology). </w:t>
            </w:r>
          </w:p>
        </w:tc>
        <w:tc>
          <w:tcPr>
            <w:tcW w:w="0" w:type="auto"/>
            <w:tcBorders>
              <w:top w:val="single" w:sz="4" w:space="0" w:color="auto"/>
              <w:left w:val="single" w:sz="4" w:space="0" w:color="auto"/>
              <w:bottom w:val="single" w:sz="4" w:space="0" w:color="auto"/>
              <w:right w:val="single" w:sz="4" w:space="0" w:color="auto"/>
            </w:tcBorders>
            <w:vAlign w:val="center"/>
          </w:tcPr>
          <w:p w14:paraId="5EAFDFBC" w14:textId="2D286C24"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Throughout the manuscript (e.g., Sections 1, 2, 4, 5)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1B8DF197"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259B3B94"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14:paraId="4F49757B"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Please revise the citations to conform strictly to the journal guidelines (IEEE).</w:t>
            </w:r>
          </w:p>
        </w:tc>
        <w:tc>
          <w:tcPr>
            <w:tcW w:w="0" w:type="auto"/>
            <w:tcBorders>
              <w:top w:val="single" w:sz="4" w:space="0" w:color="auto"/>
              <w:left w:val="single" w:sz="4" w:space="0" w:color="auto"/>
              <w:bottom w:val="single" w:sz="4" w:space="0" w:color="auto"/>
              <w:right w:val="single" w:sz="4" w:space="0" w:color="auto"/>
            </w:tcBorders>
            <w:vAlign w:val="center"/>
          </w:tcPr>
          <w:p w14:paraId="502CCBEB" w14:textId="2E306491"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thank the reviewer for this reminder. We have converted all in-text citations to numeric IEEE style, ensuring full formatting consistency (e.g., author initials, journal italics). This aligns precisely with the journal's guidelines.</w:t>
            </w:r>
          </w:p>
        </w:tc>
        <w:tc>
          <w:tcPr>
            <w:tcW w:w="0" w:type="auto"/>
            <w:tcBorders>
              <w:top w:val="single" w:sz="4" w:space="0" w:color="auto"/>
              <w:left w:val="single" w:sz="4" w:space="0" w:color="auto"/>
              <w:bottom w:val="single" w:sz="4" w:space="0" w:color="auto"/>
              <w:right w:val="single" w:sz="4" w:space="0" w:color="auto"/>
            </w:tcBorders>
            <w:vAlign w:val="center"/>
          </w:tcPr>
          <w:p w14:paraId="6197E736" w14:textId="30302009"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Throughout the manuscript (in-text citations) and References section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bl>
    <w:p w14:paraId="4EA40710" w14:textId="2788F3BC"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t>
      </w:r>
      <w:r w:rsidR="009E5156" w:rsidRPr="00FB30A9">
        <w:rPr>
          <w:rFonts w:ascii="Times New Roman" w:hAnsi="Times New Roman"/>
          <w:color w:val="FF0000"/>
          <w:sz w:val="24"/>
          <w:szCs w:val="24"/>
        </w:rPr>
        <w:t xml:space="preserve">were highlighted in </w:t>
      </w:r>
      <w:r w:rsidR="00FB30A9" w:rsidRPr="00FB30A9">
        <w:rPr>
          <w:rFonts w:ascii="Times New Roman" w:hAnsi="Times New Roman"/>
          <w:color w:val="FF0000"/>
          <w:sz w:val="24"/>
          <w:szCs w:val="24"/>
        </w:rPr>
        <w:t>red</w:t>
      </w:r>
      <w:r w:rsidRPr="00FB30A9">
        <w:rPr>
          <w:rFonts w:ascii="Times New Roman" w:hAnsi="Times New Roman"/>
          <w:color w:val="FF0000"/>
          <w:sz w:val="24"/>
          <w:szCs w:val="24"/>
        </w:rPr>
        <w:t xml:space="preserve"> </w:t>
      </w:r>
      <w:r w:rsidR="006B54D9" w:rsidRPr="00FB30A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297756">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3772" w14:textId="77777777" w:rsidR="00AA613B" w:rsidRDefault="00AA613B" w:rsidP="00786AD5">
      <w:pPr>
        <w:spacing w:after="0" w:line="240" w:lineRule="auto"/>
      </w:pPr>
      <w:r>
        <w:separator/>
      </w:r>
    </w:p>
  </w:endnote>
  <w:endnote w:type="continuationSeparator" w:id="0">
    <w:p w14:paraId="695B9D96" w14:textId="77777777" w:rsidR="00AA613B" w:rsidRDefault="00AA613B"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DBD5" w14:textId="77777777" w:rsidR="00AA613B" w:rsidRDefault="00AA613B" w:rsidP="00786AD5">
      <w:pPr>
        <w:spacing w:after="0" w:line="240" w:lineRule="auto"/>
      </w:pPr>
      <w:r>
        <w:separator/>
      </w:r>
    </w:p>
  </w:footnote>
  <w:footnote w:type="continuationSeparator" w:id="0">
    <w:p w14:paraId="3141D719" w14:textId="77777777" w:rsidR="00AA613B" w:rsidRDefault="00AA613B"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C7F"/>
    <w:multiLevelType w:val="hybridMultilevel"/>
    <w:tmpl w:val="0C0EBD32"/>
    <w:lvl w:ilvl="0" w:tplc="6BF05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84424">
    <w:abstractNumId w:val="1"/>
  </w:num>
  <w:num w:numId="2" w16cid:durableId="13189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0316D"/>
    <w:rsid w:val="00012130"/>
    <w:rsid w:val="0001312E"/>
    <w:rsid w:val="000229BB"/>
    <w:rsid w:val="00025E50"/>
    <w:rsid w:val="00026912"/>
    <w:rsid w:val="0004361B"/>
    <w:rsid w:val="000457B8"/>
    <w:rsid w:val="00076528"/>
    <w:rsid w:val="00083086"/>
    <w:rsid w:val="0009369B"/>
    <w:rsid w:val="000A0247"/>
    <w:rsid w:val="000A217B"/>
    <w:rsid w:val="000A5664"/>
    <w:rsid w:val="000E1C86"/>
    <w:rsid w:val="00101605"/>
    <w:rsid w:val="00121822"/>
    <w:rsid w:val="00121DFE"/>
    <w:rsid w:val="001228B2"/>
    <w:rsid w:val="00131F27"/>
    <w:rsid w:val="00132002"/>
    <w:rsid w:val="0014694C"/>
    <w:rsid w:val="00152013"/>
    <w:rsid w:val="001648DA"/>
    <w:rsid w:val="0018342E"/>
    <w:rsid w:val="001A16D9"/>
    <w:rsid w:val="001A3807"/>
    <w:rsid w:val="001B7AD8"/>
    <w:rsid w:val="001C16DF"/>
    <w:rsid w:val="001C352F"/>
    <w:rsid w:val="001C64B6"/>
    <w:rsid w:val="001D1798"/>
    <w:rsid w:val="001E564B"/>
    <w:rsid w:val="001F0F0A"/>
    <w:rsid w:val="001F3907"/>
    <w:rsid w:val="00207272"/>
    <w:rsid w:val="002205CB"/>
    <w:rsid w:val="00225C3C"/>
    <w:rsid w:val="00226D2D"/>
    <w:rsid w:val="002350BA"/>
    <w:rsid w:val="00260193"/>
    <w:rsid w:val="00267A62"/>
    <w:rsid w:val="0028797E"/>
    <w:rsid w:val="00294E87"/>
    <w:rsid w:val="00296AF0"/>
    <w:rsid w:val="00297756"/>
    <w:rsid w:val="002A021E"/>
    <w:rsid w:val="002C492C"/>
    <w:rsid w:val="002D65DD"/>
    <w:rsid w:val="002D7CBC"/>
    <w:rsid w:val="00323270"/>
    <w:rsid w:val="00340365"/>
    <w:rsid w:val="00393698"/>
    <w:rsid w:val="00396A0E"/>
    <w:rsid w:val="003C140B"/>
    <w:rsid w:val="003D4D9E"/>
    <w:rsid w:val="003F1E7D"/>
    <w:rsid w:val="003F60EB"/>
    <w:rsid w:val="003F6CCF"/>
    <w:rsid w:val="003F7E3D"/>
    <w:rsid w:val="0042198F"/>
    <w:rsid w:val="00425452"/>
    <w:rsid w:val="004257EF"/>
    <w:rsid w:val="00442F16"/>
    <w:rsid w:val="00452219"/>
    <w:rsid w:val="00452EBD"/>
    <w:rsid w:val="00486D30"/>
    <w:rsid w:val="00492E57"/>
    <w:rsid w:val="004A3F3B"/>
    <w:rsid w:val="004A505F"/>
    <w:rsid w:val="004D5AF1"/>
    <w:rsid w:val="004F3559"/>
    <w:rsid w:val="00570EF4"/>
    <w:rsid w:val="005A1238"/>
    <w:rsid w:val="005B07BA"/>
    <w:rsid w:val="005B73C4"/>
    <w:rsid w:val="005D51AC"/>
    <w:rsid w:val="005D5B96"/>
    <w:rsid w:val="005E580D"/>
    <w:rsid w:val="005F0590"/>
    <w:rsid w:val="00633BC9"/>
    <w:rsid w:val="006870C5"/>
    <w:rsid w:val="006914B1"/>
    <w:rsid w:val="00693071"/>
    <w:rsid w:val="006A73DC"/>
    <w:rsid w:val="006B3B24"/>
    <w:rsid w:val="006B54D9"/>
    <w:rsid w:val="006B7773"/>
    <w:rsid w:val="006C3EE6"/>
    <w:rsid w:val="006C47A7"/>
    <w:rsid w:val="006E09C5"/>
    <w:rsid w:val="006F2DB2"/>
    <w:rsid w:val="006F39D7"/>
    <w:rsid w:val="00730B0C"/>
    <w:rsid w:val="007403CC"/>
    <w:rsid w:val="00743C36"/>
    <w:rsid w:val="0074445B"/>
    <w:rsid w:val="0074712B"/>
    <w:rsid w:val="00763BB3"/>
    <w:rsid w:val="00786264"/>
    <w:rsid w:val="00786AD5"/>
    <w:rsid w:val="007A5B18"/>
    <w:rsid w:val="007A5B85"/>
    <w:rsid w:val="007B7989"/>
    <w:rsid w:val="007E53B9"/>
    <w:rsid w:val="007F0FE1"/>
    <w:rsid w:val="00807D8E"/>
    <w:rsid w:val="008106AC"/>
    <w:rsid w:val="008134ED"/>
    <w:rsid w:val="008246C2"/>
    <w:rsid w:val="00854BEC"/>
    <w:rsid w:val="00866BC2"/>
    <w:rsid w:val="008A1B69"/>
    <w:rsid w:val="008A509A"/>
    <w:rsid w:val="008B6C7C"/>
    <w:rsid w:val="008C2641"/>
    <w:rsid w:val="008D3CEF"/>
    <w:rsid w:val="008E3196"/>
    <w:rsid w:val="008E63C9"/>
    <w:rsid w:val="008F348B"/>
    <w:rsid w:val="009004E7"/>
    <w:rsid w:val="00914529"/>
    <w:rsid w:val="009170E6"/>
    <w:rsid w:val="00953DA1"/>
    <w:rsid w:val="0096352B"/>
    <w:rsid w:val="009641AF"/>
    <w:rsid w:val="009831AF"/>
    <w:rsid w:val="00991D1B"/>
    <w:rsid w:val="009B0EBC"/>
    <w:rsid w:val="009D2031"/>
    <w:rsid w:val="009E5156"/>
    <w:rsid w:val="00A03A79"/>
    <w:rsid w:val="00A236BE"/>
    <w:rsid w:val="00A505D5"/>
    <w:rsid w:val="00A67A12"/>
    <w:rsid w:val="00AA2AD7"/>
    <w:rsid w:val="00AA613B"/>
    <w:rsid w:val="00AB37C3"/>
    <w:rsid w:val="00AC0351"/>
    <w:rsid w:val="00AC4DA8"/>
    <w:rsid w:val="00AE22F6"/>
    <w:rsid w:val="00B0778D"/>
    <w:rsid w:val="00B306CC"/>
    <w:rsid w:val="00B34062"/>
    <w:rsid w:val="00B4343B"/>
    <w:rsid w:val="00B65567"/>
    <w:rsid w:val="00B93C21"/>
    <w:rsid w:val="00B9677E"/>
    <w:rsid w:val="00BB16FB"/>
    <w:rsid w:val="00BE6B6B"/>
    <w:rsid w:val="00C12F31"/>
    <w:rsid w:val="00C144FA"/>
    <w:rsid w:val="00C20459"/>
    <w:rsid w:val="00C30421"/>
    <w:rsid w:val="00C431FC"/>
    <w:rsid w:val="00C66164"/>
    <w:rsid w:val="00C71BDE"/>
    <w:rsid w:val="00C81B38"/>
    <w:rsid w:val="00C82217"/>
    <w:rsid w:val="00C92D2D"/>
    <w:rsid w:val="00CA4D46"/>
    <w:rsid w:val="00CB06AC"/>
    <w:rsid w:val="00CC36BA"/>
    <w:rsid w:val="00CF551E"/>
    <w:rsid w:val="00CF7DF2"/>
    <w:rsid w:val="00D02441"/>
    <w:rsid w:val="00D03F81"/>
    <w:rsid w:val="00D113BA"/>
    <w:rsid w:val="00D131AA"/>
    <w:rsid w:val="00D13A8A"/>
    <w:rsid w:val="00D14724"/>
    <w:rsid w:val="00D27ADD"/>
    <w:rsid w:val="00D36BD8"/>
    <w:rsid w:val="00D40865"/>
    <w:rsid w:val="00D53067"/>
    <w:rsid w:val="00D61222"/>
    <w:rsid w:val="00D703F3"/>
    <w:rsid w:val="00D76DFB"/>
    <w:rsid w:val="00D8495F"/>
    <w:rsid w:val="00D87F95"/>
    <w:rsid w:val="00DA2F3D"/>
    <w:rsid w:val="00DC39E7"/>
    <w:rsid w:val="00DC4591"/>
    <w:rsid w:val="00E054F0"/>
    <w:rsid w:val="00E158F9"/>
    <w:rsid w:val="00E30299"/>
    <w:rsid w:val="00E34DC5"/>
    <w:rsid w:val="00E51D85"/>
    <w:rsid w:val="00E56A6E"/>
    <w:rsid w:val="00E60100"/>
    <w:rsid w:val="00E67726"/>
    <w:rsid w:val="00E724E8"/>
    <w:rsid w:val="00E724ED"/>
    <w:rsid w:val="00E807EE"/>
    <w:rsid w:val="00EC7139"/>
    <w:rsid w:val="00EC78DF"/>
    <w:rsid w:val="00EE735C"/>
    <w:rsid w:val="00EF2620"/>
    <w:rsid w:val="00F021D2"/>
    <w:rsid w:val="00F12831"/>
    <w:rsid w:val="00F16FA0"/>
    <w:rsid w:val="00F316F3"/>
    <w:rsid w:val="00F53B92"/>
    <w:rsid w:val="00F56CE3"/>
    <w:rsid w:val="00F665BE"/>
    <w:rsid w:val="00F71E40"/>
    <w:rsid w:val="00F750EA"/>
    <w:rsid w:val="00F772D7"/>
    <w:rsid w:val="00F83FE7"/>
    <w:rsid w:val="00F86889"/>
    <w:rsid w:val="00FB30A9"/>
    <w:rsid w:val="00FC2203"/>
    <w:rsid w:val="00FE61D9"/>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83655007">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 w:id="9832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Admin</cp:lastModifiedBy>
  <cp:revision>4</cp:revision>
  <cp:lastPrinted>2025-12-16T08:42:00Z</cp:lastPrinted>
  <dcterms:created xsi:type="dcterms:W3CDTF">2026-03-12T11:29:00Z</dcterms:created>
  <dcterms:modified xsi:type="dcterms:W3CDTF">2026-03-13T09:15:00Z</dcterms:modified>
</cp:coreProperties>
</file>