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37D" w:rsidRDefault="0006337D" w:rsidP="00CB45D0">
      <w:pPr>
        <w:rPr>
          <w:rFonts w:eastAsia="Times New Roman" w:cs="Times New Roman"/>
          <w:szCs w:val="24"/>
        </w:rPr>
      </w:pPr>
    </w:p>
    <w:p w:rsidR="00517AD1" w:rsidRPr="00310003" w:rsidRDefault="00517AD1" w:rsidP="00CB45D0">
      <w:pPr>
        <w:rPr>
          <w:rFonts w:eastAsia="Times New Roman" w:cs="Times New Roman"/>
          <w:szCs w:val="24"/>
        </w:rPr>
      </w:pPr>
    </w:p>
    <w:p w:rsidR="002F4E7A" w:rsidRPr="00310003" w:rsidRDefault="006F46CC" w:rsidP="002F4E7A">
      <w:pPr>
        <w:spacing w:before="120" w:after="120" w:line="240" w:lineRule="auto"/>
        <w:jc w:val="center"/>
        <w:rPr>
          <w:rFonts w:eastAsia="Times New Roman" w:cs="Times New Roman"/>
          <w:szCs w:val="24"/>
        </w:rPr>
      </w:pPr>
      <w:r w:rsidRPr="006F46CC">
        <w:rPr>
          <w:rFonts w:ascii="Arial" w:eastAsia="Times New Roman" w:hAnsi="Arial" w:cs="Arial"/>
          <w:b/>
          <w:bCs/>
          <w:color w:val="000000"/>
          <w:sz w:val="32"/>
          <w:szCs w:val="32"/>
        </w:rPr>
        <w:t>A STUDY ON THE FACTORS AFFECTING LISTENING COMPREHENSION DIFFICULTIES OF FIRST-YEAR ENGLISH MAJORS AT QUY NHON UNIVERSITY</w:t>
      </w:r>
      <w:r w:rsidR="00BE07E3" w:rsidRPr="00310003">
        <w:rPr>
          <w:rFonts w:ascii="Arial" w:eastAsia="Times New Roman" w:hAnsi="Arial" w:cs="Arial"/>
          <w:b/>
          <w:bCs/>
          <w:color w:val="000000"/>
          <w:sz w:val="32"/>
          <w:szCs w:val="32"/>
        </w:rPr>
        <w:t xml:space="preserve"> </w:t>
      </w:r>
    </w:p>
    <w:p w:rsidR="002F4E7A" w:rsidRPr="00310003" w:rsidRDefault="00363896"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w:t>
      </w:r>
      <w:r w:rsidR="00DF56C6" w:rsidRPr="00310003">
        <w:rPr>
          <w:rFonts w:eastAsia="Times New Roman" w:cs="Times New Roman"/>
          <w:b/>
          <w:bCs/>
          <w:color w:val="000000"/>
          <w:szCs w:val="24"/>
        </w:rPr>
        <w:t>en</w:t>
      </w:r>
      <w:r w:rsidRPr="00310003">
        <w:rPr>
          <w:rFonts w:eastAsia="Times New Roman" w:cs="Times New Roman"/>
          <w:b/>
          <w:bCs/>
          <w:color w:val="000000"/>
          <w:szCs w:val="24"/>
        </w:rPr>
        <w:t xml:space="preserve"> Nhi*, 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8" w:history="1">
        <w:r w:rsidR="00897C53" w:rsidRPr="00310003">
          <w:rPr>
            <w:rStyle w:val="Hyperlink"/>
            <w:rFonts w:eastAsia="Times New Roman" w:cs="Times New Roman"/>
            <w:i/>
            <w:sz w:val="22"/>
            <w:szCs w:val="24"/>
          </w:rPr>
          <w:t>nhi4557510172@st.qnu.edu.vn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6F46CC" w:rsidP="00CC5DA9">
      <w:pPr>
        <w:spacing w:before="120" w:after="120" w:line="240" w:lineRule="auto"/>
        <w:ind w:firstLine="567"/>
        <w:jc w:val="both"/>
        <w:rPr>
          <w:rFonts w:eastAsia="Times New Roman" w:cs="Times New Roman"/>
          <w:szCs w:val="24"/>
        </w:rPr>
      </w:pPr>
      <w:r w:rsidRPr="006F46CC">
        <w:rPr>
          <w:rFonts w:eastAsia="Times New Roman" w:cs="Times New Roman"/>
          <w:color w:val="000000"/>
          <w:sz w:val="20"/>
          <w:szCs w:val="20"/>
        </w:rPr>
        <w:t>This study investigates the listening comprehension difficulties encountered by 70 first-year English majors at Quy Nhon University during their transition to higher education. Utilizing a mixed-methods approach, data were gathered through structured questionnaires and semi-structured interviews, then analyzed via descriptive statistics and thematic analysis. The findings identify three primary barriers: listener-related factors (limited vocabulary and high anxiety), speaker-related factors (rapid speech and diverse accents), and environmental/task-related challenges. Notably, limited lexical resources and the inability to process fast-paced natural speech emerged as the most significant hurdles, reflecting a substantial gap between high school training and university demands. Based on these insights, the study recommends pedagogical shifts, including the integration of authentic materials, the instruction of meta-cognitive strategies, and the cultivation of a low-anxiety classroom environment. These results provide a practical framework for lecturers and students to enhance listening proficiency and academic outcomes ear</w:t>
      </w:r>
      <w:r>
        <w:rPr>
          <w:rFonts w:eastAsia="Times New Roman" w:cs="Times New Roman"/>
          <w:color w:val="000000"/>
          <w:sz w:val="20"/>
          <w:szCs w:val="20"/>
        </w:rPr>
        <w:t>ly in the undergraduate program</w:t>
      </w:r>
      <w:r w:rsidR="00985E8E" w:rsidRPr="00985E8E">
        <w:rPr>
          <w:rFonts w:eastAsia="Times New Roman" w:cs="Times New Roman"/>
          <w:color w:val="000000"/>
          <w:sz w:val="20"/>
          <w:szCs w:val="20"/>
        </w:rPr>
        <w:t>.</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6C1583" w:rsidRPr="006C1583">
        <w:rPr>
          <w:i/>
          <w:sz w:val="20"/>
        </w:rPr>
        <w:t>English listening, first-year students, listening di</w:t>
      </w:r>
      <w:r w:rsidR="006C1583">
        <w:rPr>
          <w:i/>
          <w:sz w:val="20"/>
        </w:rPr>
        <w:t>fficulties, academic transition</w:t>
      </w:r>
      <w:r w:rsidR="00C951CB" w:rsidRPr="00310003">
        <w:rPr>
          <w:i/>
          <w:sz w:val="20"/>
        </w:rPr>
        <w:t>.</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6F46CC" w:rsidRPr="006F46CC" w:rsidRDefault="006F46CC" w:rsidP="006F46CC">
      <w:pPr>
        <w:spacing w:before="120" w:after="120" w:line="240" w:lineRule="auto"/>
        <w:ind w:firstLine="570"/>
        <w:jc w:val="both"/>
        <w:rPr>
          <w:rFonts w:eastAsia="Times New Roman" w:cs="Times New Roman"/>
          <w:sz w:val="22"/>
        </w:rPr>
      </w:pPr>
      <w:r w:rsidRPr="006F46CC">
        <w:rPr>
          <w:rFonts w:eastAsia="Times New Roman" w:cs="Times New Roman"/>
          <w:sz w:val="22"/>
        </w:rPr>
        <w:lastRenderedPageBreak/>
        <w:t xml:space="preserve">In the contemporary landscape of English Language Teaching (ELT), the mastery of listening comprehension is no longer viewed as a passive or secondary skill but as the fundamental "Cinderella skill" that underpins all linguistic development. At Quy Nhon University (QNU), first-year English majors find themselves at a daunting academic crossroads. As they transition from the highly structured, simplified environment of high school English to the rigorous, authentic demands of a university-level curriculum, the ability to process complex auditory input becomes a core necessity for academic survival. Despite years of formal schooling, many freshmen encounter a significant "comprehension gap" that hinders their ability to engage with lectures, participate in seminars, and succeed in standardized proficiency assessments. This persistent struggle underscores an urgent need to investigate the multifaceted barriers to </w:t>
      </w:r>
      <w:r w:rsidRPr="006F46CC">
        <w:rPr>
          <w:rFonts w:eastAsia="Times New Roman" w:cs="Times New Roman"/>
          <w:sz w:val="22"/>
        </w:rPr>
        <w:lastRenderedPageBreak/>
        <w:t>listening comprehension during this critical transitio</w:t>
      </w:r>
      <w:r>
        <w:rPr>
          <w:rFonts w:eastAsia="Times New Roman" w:cs="Times New Roman"/>
          <w:sz w:val="22"/>
        </w:rPr>
        <w:t>nal phase.</w:t>
      </w:r>
    </w:p>
    <w:p w:rsidR="006F46CC" w:rsidRPr="006F46CC" w:rsidRDefault="006F46CC" w:rsidP="006F46CC">
      <w:pPr>
        <w:spacing w:before="120" w:after="120" w:line="240" w:lineRule="auto"/>
        <w:ind w:firstLine="570"/>
        <w:jc w:val="both"/>
        <w:rPr>
          <w:rFonts w:eastAsia="Times New Roman" w:cs="Times New Roman"/>
          <w:sz w:val="22"/>
        </w:rPr>
      </w:pPr>
      <w:r w:rsidRPr="006F46CC">
        <w:rPr>
          <w:rFonts w:eastAsia="Times New Roman" w:cs="Times New Roman"/>
          <w:sz w:val="22"/>
        </w:rPr>
        <w:t xml:space="preserve">In an increasingly interconnected world, listening serves as the primary channel for language acquisition and intercultural communication. As noted by Rost, listening is not merely a receptive act but a complex cognitive process of constructing meaning from oral input [1]. Similarly, Richards emphasizes that for EFL (English as a Foreign Language) learners, listening proficiency is the most vital tool for navigating both academic and professional spheres [2]. In the Vietnamese context, particularly at regional institutions like Quy Nhon University, the pressure to achieve high levels of communicative competence has never been more intense. However, listening remains one of the most difficult macro-skills to master. It is an ephemeral process that requires the simultaneous integration of phonological recognition, lexical </w:t>
      </w:r>
      <w:r w:rsidRPr="006F46CC">
        <w:rPr>
          <w:rFonts w:eastAsia="Times New Roman" w:cs="Times New Roman"/>
          <w:sz w:val="22"/>
        </w:rPr>
        <w:lastRenderedPageBreak/>
        <w:t>retr</w:t>
      </w:r>
      <w:r>
        <w:rPr>
          <w:rFonts w:eastAsia="Times New Roman" w:cs="Times New Roman"/>
          <w:sz w:val="22"/>
        </w:rPr>
        <w:t xml:space="preserve">ieval, and background </w:t>
      </w:r>
      <w:r>
        <w:rPr>
          <w:rFonts w:eastAsia="Times New Roman" w:cs="Times New Roman"/>
          <w:sz w:val="22"/>
          <w:lang w:val="vi-VN"/>
        </w:rPr>
        <w:t>knowledge-</w:t>
      </w:r>
      <w:r w:rsidRPr="006F46CC">
        <w:rPr>
          <w:rFonts w:eastAsia="Times New Roman" w:cs="Times New Roman"/>
          <w:sz w:val="22"/>
        </w:rPr>
        <w:t>all occurring in real-time without the lu</w:t>
      </w:r>
      <w:r>
        <w:rPr>
          <w:rFonts w:eastAsia="Times New Roman" w:cs="Times New Roman"/>
          <w:sz w:val="22"/>
        </w:rPr>
        <w:t>xury of "re-reading" the input.</w:t>
      </w:r>
    </w:p>
    <w:p w:rsidR="006F46CC" w:rsidRPr="006F46CC" w:rsidRDefault="006F46CC" w:rsidP="006F46CC">
      <w:pPr>
        <w:spacing w:before="120" w:after="120" w:line="240" w:lineRule="auto"/>
        <w:ind w:firstLine="570"/>
        <w:jc w:val="both"/>
        <w:rPr>
          <w:rFonts w:eastAsia="Times New Roman" w:cs="Times New Roman"/>
          <w:sz w:val="22"/>
        </w:rPr>
      </w:pPr>
      <w:r w:rsidRPr="006F46CC">
        <w:rPr>
          <w:rFonts w:eastAsia="Times New Roman" w:cs="Times New Roman"/>
          <w:sz w:val="22"/>
        </w:rPr>
        <w:t>The transition from secondary to tertiary education at QNU represents a "pedagogical shock" for many English majors. At the high school level, listening exercises are often characterized by slow speech rates, clear articulation, and predictable thematic content designed for exam preparation. In contrast, the undergraduate program at QNU exposes students to authentic materials, including varying native and non-native accents, rapid natural speech, and complex academic genres. According to Field, the sudden shift toward "unfiltered" input can lead to cognitive overload, where the listener’s processing capacity is exhausted by bottom-up decoding, leaving no room for top-down understanding [3]. For these freshmen, listening is not just a subject of study; it is the primary medium through which they must acquire all other linguistic and professional knowledge.</w:t>
      </w:r>
    </w:p>
    <w:p w:rsidR="006F46CC" w:rsidRPr="006F46CC" w:rsidRDefault="006F46CC" w:rsidP="006F46CC">
      <w:pPr>
        <w:spacing w:before="120" w:after="120" w:line="240" w:lineRule="auto"/>
        <w:ind w:firstLine="570"/>
        <w:jc w:val="both"/>
        <w:rPr>
          <w:rFonts w:eastAsia="Times New Roman" w:cs="Times New Roman"/>
          <w:sz w:val="22"/>
        </w:rPr>
      </w:pPr>
      <w:r w:rsidRPr="006F46CC">
        <w:rPr>
          <w:rFonts w:eastAsia="Times New Roman" w:cs="Times New Roman"/>
          <w:sz w:val="22"/>
        </w:rPr>
        <w:t>The factors contributing to listening difficulties are diverse and interrelated, often categorized into listener-related, speaker-related, and environmental factors. Underwood argues that internal barriers, such as limited lexical resources and high levels of "listening anxiety," can significantly impede a student’s ability to recall information or maintain focus [4]. For many QNU freshmen, th</w:t>
      </w:r>
      <w:r>
        <w:rPr>
          <w:rFonts w:eastAsia="Times New Roman" w:cs="Times New Roman"/>
          <w:sz w:val="22"/>
        </w:rPr>
        <w:t>e habit of "mental translation"</w:t>
      </w:r>
      <w:r>
        <w:rPr>
          <w:rFonts w:eastAsia="Times New Roman" w:cs="Times New Roman"/>
          <w:sz w:val="22"/>
          <w:lang w:val="vi-VN"/>
        </w:rPr>
        <w:t>-</w:t>
      </w:r>
      <w:r w:rsidRPr="006F46CC">
        <w:rPr>
          <w:rFonts w:eastAsia="Times New Roman" w:cs="Times New Roman"/>
          <w:sz w:val="22"/>
        </w:rPr>
        <w:t>attempting to translate every word into Vietnamese wh</w:t>
      </w:r>
      <w:r>
        <w:rPr>
          <w:rFonts w:eastAsia="Times New Roman" w:cs="Times New Roman"/>
          <w:sz w:val="22"/>
        </w:rPr>
        <w:t xml:space="preserve">ile </w:t>
      </w:r>
      <w:r>
        <w:rPr>
          <w:rFonts w:eastAsia="Times New Roman" w:cs="Times New Roman"/>
          <w:sz w:val="22"/>
          <w:lang w:val="vi-VN"/>
        </w:rPr>
        <w:t>listening-</w:t>
      </w:r>
      <w:r w:rsidRPr="006F46CC">
        <w:rPr>
          <w:rFonts w:eastAsia="Times New Roman" w:cs="Times New Roman"/>
          <w:sz w:val="22"/>
        </w:rPr>
        <w:t>acts as a major bottleneck, causing them to lose track of the speaker’s main ideas. Furthermore, external constraints such as the speaker’s accent, the lack of visual cues, and poor classroom acoustics often exacerbate the frustration, leading to a sense of demotivation e</w:t>
      </w:r>
      <w:r>
        <w:rPr>
          <w:rFonts w:eastAsia="Times New Roman" w:cs="Times New Roman"/>
          <w:sz w:val="22"/>
        </w:rPr>
        <w:t>arly in their academic journey.</w:t>
      </w:r>
    </w:p>
    <w:p w:rsidR="006F46CC" w:rsidRPr="006F46CC" w:rsidRDefault="006F46CC" w:rsidP="006F46CC">
      <w:pPr>
        <w:spacing w:before="120" w:after="120" w:line="240" w:lineRule="auto"/>
        <w:ind w:firstLine="570"/>
        <w:jc w:val="both"/>
        <w:rPr>
          <w:rFonts w:eastAsia="Times New Roman" w:cs="Times New Roman"/>
          <w:sz w:val="22"/>
        </w:rPr>
      </w:pPr>
      <w:r w:rsidRPr="006F46CC">
        <w:rPr>
          <w:rFonts w:eastAsia="Times New Roman" w:cs="Times New Roman"/>
          <w:sz w:val="22"/>
        </w:rPr>
        <w:t xml:space="preserve">Despite the recognized importance of listening, it often remains the most under-researched skill in the local Vietnamese context compared to reading or writing. Previous literature has frequently focused on general proficiency, yet there is a gap in understanding the specific "student voice" regarding the transition to higher education. The present study, titled "A Study on the Factors Affecting Listening Comprehension Difficulties of First-year English Majors at Quy Nhon University," aims to fill this void. By employing a mixed-methods approach involving 70 freshmen, this research prioritizes </w:t>
      </w:r>
      <w:r w:rsidRPr="006F46CC">
        <w:rPr>
          <w:rFonts w:eastAsia="Times New Roman" w:cs="Times New Roman"/>
          <w:sz w:val="22"/>
        </w:rPr>
        <w:lastRenderedPageBreak/>
        <w:t>the learners’ subjective experiences. Specifically, it seeks to identify which linguistic and non-linguistic barriers are perceived as most debilitating and how the gap between two educational levels affects their learning outcomes.</w:t>
      </w:r>
    </w:p>
    <w:p w:rsidR="006F46CC" w:rsidRPr="006F46CC" w:rsidRDefault="006F46CC" w:rsidP="006F46CC">
      <w:pPr>
        <w:spacing w:before="120" w:after="120" w:line="240" w:lineRule="auto"/>
        <w:ind w:firstLine="570"/>
        <w:jc w:val="both"/>
        <w:rPr>
          <w:rFonts w:eastAsia="Times New Roman" w:cs="Times New Roman"/>
          <w:sz w:val="22"/>
        </w:rPr>
      </w:pPr>
      <w:r w:rsidRPr="006F46CC">
        <w:rPr>
          <w:rFonts w:eastAsia="Times New Roman" w:cs="Times New Roman"/>
          <w:sz w:val="22"/>
        </w:rPr>
        <w:t>Furthermore, the findings of this study offer significant practical implications for both educators and students at QNU. Understanding the root causes of listening obstacles is essential for designing effective pedagogical interventions, such as the integration of meta-cognitive strategy training and the use of authentic digital resources. As Dörnyei suggests, addressing learner attitudes and psychological barriers is key to fostering long-term motivation [5]. For lecturers at the Faculty of Foreign Languages, these insights can inform a shift toward more interactive and supportive listening environments, utilizing modern tools like podcasts and online discussion forums to bridge the gap between classroom learn</w:t>
      </w:r>
      <w:r>
        <w:rPr>
          <w:rFonts w:eastAsia="Times New Roman" w:cs="Times New Roman"/>
          <w:sz w:val="22"/>
        </w:rPr>
        <w:t>ing and real-world application.</w:t>
      </w:r>
    </w:p>
    <w:p w:rsidR="003651C4" w:rsidRPr="00310003" w:rsidRDefault="006F46CC" w:rsidP="006F46CC">
      <w:pPr>
        <w:spacing w:before="120" w:after="120" w:line="240" w:lineRule="auto"/>
        <w:ind w:firstLine="570"/>
        <w:jc w:val="both"/>
        <w:rPr>
          <w:rFonts w:eastAsia="Times New Roman" w:cs="Times New Roman"/>
          <w:b/>
          <w:bCs/>
          <w:sz w:val="22"/>
          <w:szCs w:val="24"/>
        </w:rPr>
      </w:pPr>
      <w:r w:rsidRPr="006F46CC">
        <w:rPr>
          <w:rFonts w:eastAsia="Times New Roman" w:cs="Times New Roman"/>
          <w:sz w:val="22"/>
        </w:rPr>
        <w:t>In conclusion, listening comprehension is a complex, dynamic skill that lies at the heart of an English major’s success. While the transition to university-level liste</w:t>
      </w:r>
      <w:r>
        <w:rPr>
          <w:rFonts w:eastAsia="Times New Roman" w:cs="Times New Roman"/>
          <w:sz w:val="22"/>
        </w:rPr>
        <w:t xml:space="preserve">ning is fraught with </w:t>
      </w:r>
      <w:r>
        <w:rPr>
          <w:rFonts w:eastAsia="Times New Roman" w:cs="Times New Roman"/>
          <w:sz w:val="22"/>
          <w:lang w:val="vi-VN"/>
        </w:rPr>
        <w:t>challenges-</w:t>
      </w:r>
      <w:r w:rsidRPr="006F46CC">
        <w:rPr>
          <w:rFonts w:eastAsia="Times New Roman" w:cs="Times New Roman"/>
          <w:sz w:val="22"/>
        </w:rPr>
        <w:t>from vocabulary</w:t>
      </w:r>
      <w:r>
        <w:rPr>
          <w:rFonts w:eastAsia="Times New Roman" w:cs="Times New Roman"/>
          <w:sz w:val="22"/>
        </w:rPr>
        <w:t xml:space="preserve"> deficits to rapid speech </w:t>
      </w:r>
      <w:r>
        <w:rPr>
          <w:rFonts w:eastAsia="Times New Roman" w:cs="Times New Roman"/>
          <w:sz w:val="22"/>
          <w:lang w:val="vi-VN"/>
        </w:rPr>
        <w:t>rates-</w:t>
      </w:r>
      <w:r w:rsidRPr="006F46CC">
        <w:rPr>
          <w:rFonts w:eastAsia="Times New Roman" w:cs="Times New Roman"/>
          <w:sz w:val="22"/>
        </w:rPr>
        <w:t xml:space="preserve">addressing these barriers early is crucial for building a solid foundation for future years of study. By investigating the specific difficulties faced by QNU freshmen, this study contributes to a deeper understanding of how the "Cinderella skill" can be effectively nurtured, ultimately empowering students to become more autonomous, confident, and proficient </w:t>
      </w:r>
      <w:r>
        <w:rPr>
          <w:rFonts w:eastAsia="Times New Roman" w:cs="Times New Roman"/>
          <w:sz w:val="22"/>
        </w:rPr>
        <w:t>listeners in a globalized world</w:t>
      </w:r>
      <w:r w:rsidR="00C01DD6" w:rsidRPr="00310003">
        <w:rPr>
          <w:sz w:val="22"/>
        </w:rPr>
        <w:t>.</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3651C4" w:rsidP="003651C4">
      <w:pPr>
        <w:spacing w:before="120" w:after="120" w:line="240" w:lineRule="auto"/>
        <w:jc w:val="both"/>
        <w:rPr>
          <w:rFonts w:eastAsia="Times New Roman" w:cs="Times New Roman"/>
          <w:sz w:val="22"/>
          <w:szCs w:val="24"/>
        </w:rPr>
      </w:pPr>
      <w:r w:rsidRPr="00310003">
        <w:rPr>
          <w:rFonts w:eastAsia="Times New Roman" w:cs="Times New Roman"/>
          <w:sz w:val="22"/>
          <w:szCs w:val="24"/>
        </w:rPr>
        <w:t>The research questions discussed in this research could have been determined from the background research mentioned above. Those were:</w:t>
      </w:r>
    </w:p>
    <w:p w:rsidR="003651C4" w:rsidRPr="00310003" w:rsidRDefault="002B67B8" w:rsidP="002B67B8">
      <w:pPr>
        <w:numPr>
          <w:ilvl w:val="0"/>
          <w:numId w:val="3"/>
        </w:numPr>
        <w:spacing w:before="120" w:after="120" w:line="240" w:lineRule="auto"/>
        <w:jc w:val="both"/>
        <w:rPr>
          <w:rFonts w:eastAsia="Times New Roman" w:cs="Times New Roman"/>
          <w:sz w:val="22"/>
          <w:szCs w:val="24"/>
        </w:rPr>
      </w:pPr>
      <w:r w:rsidRPr="002B67B8">
        <w:rPr>
          <w:rFonts w:eastAsia="Times New Roman" w:cs="Times New Roman"/>
          <w:sz w:val="22"/>
          <w:szCs w:val="24"/>
        </w:rPr>
        <w:t>What are the primary factors (listener-related, speaker-related, and environmental/task-related) that cause listening comprehension difficulties for first-year English majors at QNU?</w:t>
      </w:r>
    </w:p>
    <w:p w:rsidR="00C01DD6" w:rsidRDefault="002B67B8" w:rsidP="002B67B8">
      <w:pPr>
        <w:numPr>
          <w:ilvl w:val="0"/>
          <w:numId w:val="3"/>
        </w:numPr>
        <w:spacing w:before="120" w:after="120" w:line="240" w:lineRule="auto"/>
        <w:jc w:val="both"/>
        <w:rPr>
          <w:rFonts w:eastAsia="Times New Roman" w:cs="Times New Roman"/>
          <w:sz w:val="22"/>
          <w:szCs w:val="24"/>
        </w:rPr>
      </w:pPr>
      <w:r w:rsidRPr="002B67B8">
        <w:rPr>
          <w:rFonts w:eastAsia="Times New Roman" w:cs="Times New Roman"/>
          <w:sz w:val="22"/>
          <w:szCs w:val="24"/>
        </w:rPr>
        <w:t>How do first-year English majors perceive the transition in listening requirements from high school to the university level?</w:t>
      </w:r>
    </w:p>
    <w:p w:rsidR="002B67B8" w:rsidRPr="00310003" w:rsidRDefault="002B67B8" w:rsidP="002B67B8">
      <w:pPr>
        <w:numPr>
          <w:ilvl w:val="0"/>
          <w:numId w:val="3"/>
        </w:numPr>
        <w:spacing w:before="120" w:after="120" w:line="240" w:lineRule="auto"/>
        <w:jc w:val="both"/>
        <w:rPr>
          <w:rFonts w:eastAsia="Times New Roman" w:cs="Times New Roman"/>
          <w:sz w:val="22"/>
          <w:szCs w:val="24"/>
        </w:rPr>
      </w:pPr>
      <w:r w:rsidRPr="002B67B8">
        <w:rPr>
          <w:rFonts w:eastAsia="Times New Roman" w:cs="Times New Roman"/>
          <w:sz w:val="22"/>
          <w:szCs w:val="24"/>
        </w:rPr>
        <w:t xml:space="preserve">What pedagogical interventions and strategies can be implemented to </w:t>
      </w:r>
      <w:r w:rsidRPr="002B67B8">
        <w:rPr>
          <w:rFonts w:eastAsia="Times New Roman" w:cs="Times New Roman"/>
          <w:sz w:val="22"/>
          <w:szCs w:val="24"/>
        </w:rPr>
        <w:lastRenderedPageBreak/>
        <w:t>effectively mitigate these listening obstacles and improve academic outcomes for EFL freshmen?</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2B67B8" w:rsidRDefault="00540990" w:rsidP="002B67B8">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2.1.1. </w:t>
      </w:r>
      <w:r w:rsidR="002B67B8" w:rsidRPr="002B67B8">
        <w:rPr>
          <w:rFonts w:eastAsia="Times New Roman" w:cs="Times New Roman"/>
          <w:i/>
          <w:iCs/>
          <w:sz w:val="22"/>
          <w:szCs w:val="24"/>
        </w:rPr>
        <w:t>Definitions of Listening</w:t>
      </w:r>
    </w:p>
    <w:p w:rsidR="002B67B8" w:rsidRPr="002B67B8" w:rsidRDefault="002B67B8" w:rsidP="002B67B8">
      <w:pPr>
        <w:spacing w:before="120" w:after="120" w:line="240" w:lineRule="auto"/>
        <w:ind w:firstLine="570"/>
        <w:jc w:val="both"/>
        <w:rPr>
          <w:rFonts w:eastAsia="Times New Roman" w:cs="Times New Roman"/>
          <w:sz w:val="22"/>
          <w:szCs w:val="24"/>
        </w:rPr>
      </w:pPr>
      <w:r w:rsidRPr="002B67B8">
        <w:rPr>
          <w:rFonts w:eastAsia="Times New Roman" w:cs="Times New Roman"/>
          <w:sz w:val="22"/>
          <w:szCs w:val="24"/>
        </w:rPr>
        <w:t>In the field of Second Language Acquisition (SLA), defining "listening" has evolved from viewing it as a passive reception of sound to recognizing it as a complex, active process of meaning construction. According to Oxford [6], listening is a fundamental language skill that involves a multifaceted system of receiving, constructing meaning from, and responding to spoken or nonverbal messages. This definition highlights that listening is not merely about hearing sounds but about the cognitive engagement required to interpret those sounds into coherent information.</w:t>
      </w:r>
    </w:p>
    <w:p w:rsidR="002B67B8" w:rsidRPr="002B67B8" w:rsidRDefault="002B67B8" w:rsidP="002B67B8">
      <w:pPr>
        <w:spacing w:before="120" w:after="120" w:line="240" w:lineRule="auto"/>
        <w:ind w:firstLine="570"/>
        <w:jc w:val="both"/>
        <w:rPr>
          <w:rFonts w:eastAsia="Times New Roman" w:cs="Times New Roman"/>
          <w:sz w:val="22"/>
          <w:szCs w:val="24"/>
        </w:rPr>
      </w:pPr>
      <w:r w:rsidRPr="002B67B8">
        <w:rPr>
          <w:rFonts w:eastAsia="Times New Roman" w:cs="Times New Roman"/>
          <w:sz w:val="22"/>
          <w:szCs w:val="24"/>
        </w:rPr>
        <w:t>Expanding on this, Rost [7] provides a more comprehensive perspective by defining listening through four primary dimensions: receptive (receiving what the speaker actually says), constructive (constructing and representing meaning), collaborative (negotiating meaning with the speaker and responding), and transformative (creating meaning through involvement, imagination, and empathy). From this viewpoint, listening is seen as an "interactive" process where the listener is an active participant rather than a silent recipient.</w:t>
      </w:r>
    </w:p>
    <w:p w:rsidR="002B67B8" w:rsidRPr="002B67B8" w:rsidRDefault="002B67B8" w:rsidP="002B67B8">
      <w:pPr>
        <w:spacing w:before="120" w:after="120" w:line="240" w:lineRule="auto"/>
        <w:ind w:firstLine="570"/>
        <w:jc w:val="both"/>
        <w:rPr>
          <w:rFonts w:eastAsia="Times New Roman" w:cs="Times New Roman"/>
          <w:sz w:val="22"/>
          <w:szCs w:val="24"/>
        </w:rPr>
      </w:pPr>
      <w:r w:rsidRPr="002B67B8">
        <w:rPr>
          <w:rFonts w:eastAsia="Times New Roman" w:cs="Times New Roman"/>
          <w:sz w:val="22"/>
          <w:szCs w:val="24"/>
        </w:rPr>
        <w:t>Furthermore, Vandergrift [8] emphasizes the cognitive nature of this skill, describing listening as an invisible, mental process that is difficult to observe. It involves the integration of various sub-skills, such as discriminating sounds, parsing grammatical structures, and using prior knowledge (schemata) to make sense of the input. Similarly, Underwood [9] simplifies the concept by stating that listening is the activity of paying attention to and trying to get meaning from something we hear.</w:t>
      </w:r>
    </w:p>
    <w:p w:rsidR="002B67B8" w:rsidRPr="002B67B8" w:rsidRDefault="002B67B8" w:rsidP="002B67B8">
      <w:pPr>
        <w:spacing w:before="120" w:after="120" w:line="240" w:lineRule="auto"/>
        <w:ind w:firstLine="570"/>
        <w:jc w:val="both"/>
        <w:rPr>
          <w:rFonts w:eastAsia="Times New Roman" w:cs="Times New Roman"/>
          <w:sz w:val="22"/>
          <w:szCs w:val="24"/>
        </w:rPr>
      </w:pPr>
      <w:r w:rsidRPr="002B67B8">
        <w:rPr>
          <w:rFonts w:eastAsia="Times New Roman" w:cs="Times New Roman"/>
          <w:sz w:val="22"/>
          <w:szCs w:val="24"/>
        </w:rPr>
        <w:t>In summary, l</w:t>
      </w:r>
      <w:r>
        <w:rPr>
          <w:rFonts w:eastAsia="Times New Roman" w:cs="Times New Roman"/>
          <w:sz w:val="22"/>
          <w:szCs w:val="24"/>
        </w:rPr>
        <w:t xml:space="preserve">istening in an academic </w:t>
      </w:r>
      <w:r>
        <w:rPr>
          <w:rFonts w:eastAsia="Times New Roman" w:cs="Times New Roman"/>
          <w:sz w:val="22"/>
          <w:szCs w:val="24"/>
          <w:lang w:val="vi-VN"/>
        </w:rPr>
        <w:t>context-</w:t>
      </w:r>
      <w:r w:rsidRPr="002B67B8">
        <w:rPr>
          <w:rFonts w:eastAsia="Times New Roman" w:cs="Times New Roman"/>
          <w:sz w:val="22"/>
          <w:szCs w:val="24"/>
        </w:rPr>
        <w:t>especially</w:t>
      </w:r>
      <w:r>
        <w:rPr>
          <w:rFonts w:eastAsia="Times New Roman" w:cs="Times New Roman"/>
          <w:sz w:val="22"/>
          <w:szCs w:val="24"/>
        </w:rPr>
        <w:t xml:space="preserve"> for EFL </w:t>
      </w:r>
      <w:r>
        <w:rPr>
          <w:rFonts w:eastAsia="Times New Roman" w:cs="Times New Roman"/>
          <w:sz w:val="22"/>
          <w:szCs w:val="24"/>
          <w:lang w:val="vi-VN"/>
        </w:rPr>
        <w:t>students-</w:t>
      </w:r>
      <w:r w:rsidRPr="002B67B8">
        <w:rPr>
          <w:rFonts w:eastAsia="Times New Roman" w:cs="Times New Roman"/>
          <w:sz w:val="22"/>
          <w:szCs w:val="24"/>
        </w:rPr>
        <w:t>is defined as an active neurological and psychological process. It requires the listener to simultaneously decode linguistic symbols while applying cognitive strategies to reconstruct the speaker's intended message within a specific situational context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lastRenderedPageBreak/>
        <w:t xml:space="preserve">2.1.2. </w:t>
      </w:r>
      <w:bookmarkStart w:id="0" w:name="_Toc224064755"/>
      <w:r w:rsidR="00CF67E8" w:rsidRPr="00CF67E8">
        <w:rPr>
          <w:rFonts w:eastAsia="Times New Roman" w:cs="Times New Roman"/>
          <w:i/>
          <w:iCs/>
          <w:sz w:val="22"/>
          <w:szCs w:val="24"/>
        </w:rPr>
        <w:t>The Importance of Listening in Language Learning</w:t>
      </w:r>
      <w:bookmarkEnd w:id="0"/>
    </w:p>
    <w:p w:rsidR="007A2E7B" w:rsidRPr="007A2E7B" w:rsidRDefault="007A2E7B" w:rsidP="007A2E7B">
      <w:pPr>
        <w:spacing w:before="120" w:after="120" w:line="240" w:lineRule="auto"/>
        <w:ind w:firstLine="570"/>
        <w:jc w:val="both"/>
        <w:rPr>
          <w:rFonts w:eastAsia="Times New Roman" w:cs="Times New Roman"/>
          <w:sz w:val="22"/>
          <w:szCs w:val="24"/>
        </w:rPr>
      </w:pPr>
      <w:r w:rsidRPr="007A2E7B">
        <w:rPr>
          <w:rFonts w:eastAsia="Times New Roman" w:cs="Times New Roman"/>
          <w:sz w:val="22"/>
          <w:szCs w:val="24"/>
        </w:rPr>
        <w:t>In the field of Second Language Acquisition (SLA), listening is no longer relegated to the status of a "Cinderella skill"—a term coined in [10] to describe its historical neglect in comparison to speaking and writing. Instead, contemporary researchers now recognize listening as the fundamental bedrock of linguistic development and the primary vehicle for language transition.</w:t>
      </w:r>
    </w:p>
    <w:p w:rsidR="007A2E7B" w:rsidRPr="007A2E7B" w:rsidRDefault="007A2E7B" w:rsidP="007A2E7B">
      <w:pPr>
        <w:spacing w:before="120" w:after="120" w:line="240" w:lineRule="auto"/>
        <w:ind w:firstLine="570"/>
        <w:jc w:val="both"/>
        <w:rPr>
          <w:rFonts w:eastAsia="Times New Roman" w:cs="Times New Roman"/>
          <w:sz w:val="22"/>
          <w:szCs w:val="24"/>
        </w:rPr>
      </w:pPr>
      <w:r w:rsidRPr="007A2E7B">
        <w:rPr>
          <w:rFonts w:eastAsia="Times New Roman" w:cs="Times New Roman"/>
          <w:sz w:val="22"/>
          <w:szCs w:val="24"/>
        </w:rPr>
        <w:t>The paramount importance of listening is first evidenced by its role as the provider of comprehensible input. Krashen [11], in his seminal Input Hypothesis, asserts that humans acquire language in only one way: by understanding messages that contain structures slightly beyond their current level of competence (i+1). Without effective listening skills, the "acquisition device" remains dormant, as the learner cannot process the raw data necessary for internalizing grammar and syntax. Supporting this, Rost [7] points out that listening remains the most frequently used communication skill in daily life, accounting for approximately 45% of adult communication time, which significantly outweighs speaking (30%), reading (16%), and writing (9%).</w:t>
      </w:r>
    </w:p>
    <w:p w:rsidR="007A2E7B" w:rsidRPr="007A2E7B" w:rsidRDefault="007A2E7B" w:rsidP="007A2E7B">
      <w:pPr>
        <w:spacing w:before="120" w:after="120" w:line="240" w:lineRule="auto"/>
        <w:ind w:firstLine="570"/>
        <w:jc w:val="both"/>
        <w:rPr>
          <w:rFonts w:eastAsia="Times New Roman" w:cs="Times New Roman"/>
          <w:sz w:val="22"/>
          <w:szCs w:val="24"/>
        </w:rPr>
      </w:pPr>
      <w:r w:rsidRPr="007A2E7B">
        <w:rPr>
          <w:rFonts w:eastAsia="Times New Roman" w:cs="Times New Roman"/>
          <w:sz w:val="22"/>
          <w:szCs w:val="24"/>
        </w:rPr>
        <w:t>Furthermore, listening serves as the essential precursor to the development of productive skills, particularly speaking. Vandergrift and Goh [12] argue that through listening, learners develop a "phonological map" of the target language, allowing them to recognize word boundaries, stress patterns, and intonational contours. This auditory foundation is critical for first-year English majors at Quy Nhon University, who are often in a fragile transition state; a lack of listening proficiency leads to high levels of language anxiety, which MacIntyre [13] identifies as a major barrier that increases the "affective filter" and prevents successful output.</w:t>
      </w:r>
    </w:p>
    <w:p w:rsidR="007A2E7B" w:rsidRPr="007A2E7B" w:rsidRDefault="007A2E7B" w:rsidP="007A2E7B">
      <w:pPr>
        <w:spacing w:before="120" w:after="120" w:line="240" w:lineRule="auto"/>
        <w:ind w:firstLine="570"/>
        <w:jc w:val="both"/>
        <w:rPr>
          <w:rFonts w:eastAsia="Times New Roman" w:cs="Times New Roman"/>
          <w:sz w:val="22"/>
          <w:szCs w:val="24"/>
        </w:rPr>
      </w:pPr>
      <w:r w:rsidRPr="007A2E7B">
        <w:rPr>
          <w:rFonts w:eastAsia="Times New Roman" w:cs="Times New Roman"/>
          <w:sz w:val="22"/>
          <w:szCs w:val="24"/>
        </w:rPr>
        <w:t xml:space="preserve">From an academic perspective, Flowerdew and Miller [14] emphasize that listening is the primary medium of instruction in higher education. Academic listening involves high-order cognitive tasks such as synthesizing information, critical evaluation, and note-taking. For EFL students, the ability to decode academic lectures is not merely a linguistic exercise but a survival skill. Richards [15] further distinguishes </w:t>
      </w:r>
      <w:r w:rsidRPr="007A2E7B">
        <w:rPr>
          <w:rFonts w:eastAsia="Times New Roman" w:cs="Times New Roman"/>
          <w:sz w:val="22"/>
          <w:szCs w:val="24"/>
        </w:rPr>
        <w:lastRenderedPageBreak/>
        <w:t>between "listening as comprehension" and "listening as acquisition," suggesting that effective listening allows students to notice new linguistic forms in the input, thereby facilitating the "notching" process required for advanced proficiency.</w:t>
      </w:r>
    </w:p>
    <w:p w:rsidR="007A2E7B" w:rsidRPr="007A2E7B" w:rsidRDefault="007A2E7B" w:rsidP="007A2E7B">
      <w:pPr>
        <w:spacing w:before="120" w:after="120" w:line="240" w:lineRule="auto"/>
        <w:ind w:firstLine="570"/>
        <w:jc w:val="both"/>
        <w:rPr>
          <w:rFonts w:eastAsia="Times New Roman" w:cs="Times New Roman"/>
          <w:sz w:val="22"/>
          <w:szCs w:val="24"/>
        </w:rPr>
      </w:pPr>
      <w:r w:rsidRPr="007A2E7B">
        <w:rPr>
          <w:rFonts w:eastAsia="Times New Roman" w:cs="Times New Roman"/>
          <w:sz w:val="22"/>
          <w:szCs w:val="24"/>
        </w:rPr>
        <w:t>Finally, listening plays a crucial role in developing sociolinguistic competence. Rubin [16] observes that listening is the gateway to understanding the cultural nuances, emotional tones, and social contexts of the target language. It allows learners to move beyond literal meaning to interpret the speaker’s intention and attitude. For English majors, this capacity is vital for achieving near-native fluency and professional competence in a globalized world.</w:t>
      </w:r>
    </w:p>
    <w:p w:rsidR="007A2E7B" w:rsidRPr="00A84430" w:rsidRDefault="007A2E7B" w:rsidP="007A2E7B">
      <w:pPr>
        <w:spacing w:before="120" w:after="120" w:line="240" w:lineRule="auto"/>
        <w:ind w:firstLine="570"/>
        <w:jc w:val="both"/>
        <w:rPr>
          <w:rFonts w:eastAsia="Times New Roman" w:cs="Times New Roman"/>
          <w:sz w:val="22"/>
          <w:szCs w:val="24"/>
          <w:lang w:val="vi-VN"/>
        </w:rPr>
      </w:pPr>
      <w:r w:rsidRPr="007A2E7B">
        <w:rPr>
          <w:rFonts w:eastAsia="Times New Roman" w:cs="Times New Roman"/>
          <w:sz w:val="22"/>
          <w:szCs w:val="24"/>
        </w:rPr>
        <w:t xml:space="preserve">In summary, the importance of listening cannot be overstated; it is the "engine" of the language learning process. As Field [17] suggests, any deficiency in listening comprehension creates a "cognitive bottleneck" that hinders the progress of all other language skills, making the study of listening difficulties a matter of urgent pedagogical </w:t>
      </w:r>
      <w:r w:rsidR="00A84430">
        <w:rPr>
          <w:rFonts w:eastAsia="Times New Roman" w:cs="Times New Roman"/>
          <w:sz w:val="22"/>
          <w:szCs w:val="24"/>
          <w:lang w:val="vi-VN"/>
        </w:rPr>
        <w:t>concern.</w:t>
      </w:r>
    </w:p>
    <w:p w:rsidR="00A84430" w:rsidRPr="00310003" w:rsidRDefault="00A84430" w:rsidP="00A84430">
      <w:pPr>
        <w:spacing w:before="120" w:after="120" w:line="240" w:lineRule="auto"/>
        <w:jc w:val="both"/>
        <w:rPr>
          <w:rFonts w:eastAsia="Times New Roman" w:cs="Times New Roman"/>
          <w:i/>
          <w:iCs/>
          <w:sz w:val="22"/>
          <w:szCs w:val="24"/>
        </w:rPr>
      </w:pPr>
      <w:r>
        <w:rPr>
          <w:rFonts w:eastAsia="Times New Roman" w:cs="Times New Roman"/>
          <w:i/>
          <w:iCs/>
          <w:sz w:val="22"/>
          <w:szCs w:val="24"/>
        </w:rPr>
        <w:t>2.1.</w:t>
      </w:r>
      <w:r>
        <w:rPr>
          <w:rFonts w:eastAsia="Times New Roman" w:cs="Times New Roman"/>
          <w:i/>
          <w:iCs/>
          <w:sz w:val="22"/>
          <w:szCs w:val="24"/>
          <w:lang w:val="vi-VN"/>
        </w:rPr>
        <w:t>3</w:t>
      </w:r>
      <w:r w:rsidRPr="00310003">
        <w:rPr>
          <w:rFonts w:eastAsia="Times New Roman" w:cs="Times New Roman"/>
          <w:i/>
          <w:iCs/>
          <w:sz w:val="22"/>
          <w:szCs w:val="24"/>
        </w:rPr>
        <w:t xml:space="preserve">. </w:t>
      </w:r>
      <w:r w:rsidRPr="00A84430">
        <w:rPr>
          <w:rFonts w:eastAsia="Times New Roman" w:cs="Times New Roman"/>
          <w:i/>
          <w:iCs/>
          <w:sz w:val="22"/>
          <w:szCs w:val="24"/>
        </w:rPr>
        <w:t>Listening Comprehension Difficulties</w:t>
      </w:r>
    </w:p>
    <w:p w:rsidR="00A84430" w:rsidRPr="00A84430" w:rsidRDefault="00A84430" w:rsidP="00A84430">
      <w:pPr>
        <w:spacing w:before="120" w:after="120" w:line="240" w:lineRule="auto"/>
        <w:ind w:firstLine="570"/>
        <w:jc w:val="both"/>
        <w:rPr>
          <w:rFonts w:eastAsia="Times New Roman" w:cs="Times New Roman"/>
          <w:sz w:val="22"/>
          <w:szCs w:val="24"/>
        </w:rPr>
      </w:pPr>
      <w:r w:rsidRPr="00A84430">
        <w:rPr>
          <w:rFonts w:eastAsia="Times New Roman" w:cs="Times New Roman"/>
          <w:sz w:val="22"/>
          <w:szCs w:val="24"/>
        </w:rPr>
        <w:t>Listening comprehension is a multifaceted cognitive process influenced by both linguistic and non-linguistic factors. These elements often act as "filters" or "bottlenecks" that can distort or block the message before successful processing occurs.</w:t>
      </w:r>
    </w:p>
    <w:p w:rsidR="00A84430" w:rsidRPr="00A84430" w:rsidRDefault="00A84430" w:rsidP="00A84430">
      <w:pPr>
        <w:spacing w:before="120" w:after="120" w:line="240" w:lineRule="auto"/>
        <w:ind w:firstLine="570"/>
        <w:jc w:val="both"/>
        <w:rPr>
          <w:rFonts w:eastAsia="Times New Roman" w:cs="Times New Roman"/>
          <w:sz w:val="22"/>
          <w:szCs w:val="24"/>
        </w:rPr>
      </w:pPr>
      <w:r w:rsidRPr="00A84430">
        <w:rPr>
          <w:rFonts w:eastAsia="Times New Roman" w:cs="Times New Roman"/>
          <w:bCs/>
          <w:sz w:val="22"/>
          <w:szCs w:val="24"/>
        </w:rPr>
        <w:t>Linguistic barriers</w:t>
      </w:r>
      <w:r w:rsidRPr="00A84430">
        <w:rPr>
          <w:rFonts w:eastAsia="Times New Roman" w:cs="Times New Roman"/>
          <w:sz w:val="22"/>
          <w:szCs w:val="24"/>
        </w:rPr>
        <w:t xml:space="preserve"> are the most immediate obstacles, relating directly to the structural components of the language. Among these, phonological obstacles are arguably the most significant. The inability to recognize "reduced forms" such as elision and assimilation often leads to comprehension breakdown [17]. Ur [18] adds that "perceptual blurring," caused by the inability to perceive word boundaries in rapid speech, prevents listeners from distinguishing individual words. Lexical knowledge also plays a critical role; Kelly [19] argues that lexical ignorance is a primary cause of listening failure, regardless of grammatical strength. Research by Stæhr [20] further indicates that a learner needs to recognize 95% to 98% of the words in a text for successful unassisted comprehension. Additionally, grammatical complexity can tax working memory; if syntactic structures are too dense, the listener's processing speed slows down, </w:t>
      </w:r>
      <w:r w:rsidRPr="00A84430">
        <w:rPr>
          <w:rFonts w:eastAsia="Times New Roman" w:cs="Times New Roman"/>
          <w:sz w:val="22"/>
          <w:szCs w:val="24"/>
        </w:rPr>
        <w:lastRenderedPageBreak/>
        <w:t>causing them to miss subsequent information [21].</w:t>
      </w:r>
    </w:p>
    <w:p w:rsidR="00A84430" w:rsidRPr="00A84430" w:rsidRDefault="00A84430" w:rsidP="00A84430">
      <w:pPr>
        <w:spacing w:before="120" w:after="120" w:line="240" w:lineRule="auto"/>
        <w:ind w:firstLine="570"/>
        <w:jc w:val="both"/>
        <w:rPr>
          <w:rFonts w:eastAsia="Times New Roman" w:cs="Times New Roman"/>
          <w:sz w:val="22"/>
          <w:szCs w:val="24"/>
        </w:rPr>
      </w:pPr>
      <w:r w:rsidRPr="00A84430">
        <w:rPr>
          <w:rFonts w:eastAsia="Times New Roman" w:cs="Times New Roman"/>
          <w:bCs/>
          <w:sz w:val="22"/>
          <w:szCs w:val="24"/>
        </w:rPr>
        <w:t>Non-linguistic barriers</w:t>
      </w:r>
      <w:r w:rsidRPr="00A84430">
        <w:rPr>
          <w:rFonts w:eastAsia="Times New Roman" w:cs="Times New Roman"/>
          <w:sz w:val="22"/>
          <w:szCs w:val="24"/>
        </w:rPr>
        <w:t>, on the other hand, encompass psychological and cognitive factors. Foreign language listening anxiety (FLLA) is particularly detrimental. Unlike reading, the ephemeral nature of listening allows no time for reflection, triggering what MacIntyre [13] identifies as "stage fright." This anxiety raises the "affective filter" [11], creating a mental block that prevents input from being processed. Furthermore, the role of background knowledge, or schemata, is central to comprehension. According to Schema Theory, listening involves mapping new information onto existing mental structures [22]. Buck [23] asserts that listening is a cognitive process relying heavily on world knowledge; thus, a lack of topical or cultural context can lead to a "knowledge gap" barrier [12].</w:t>
      </w:r>
    </w:p>
    <w:p w:rsidR="00A84430" w:rsidRPr="00A84430" w:rsidRDefault="00A84430" w:rsidP="00A84430">
      <w:pPr>
        <w:spacing w:before="120" w:after="120" w:line="240" w:lineRule="auto"/>
        <w:ind w:firstLine="570"/>
        <w:jc w:val="both"/>
        <w:rPr>
          <w:rFonts w:eastAsia="Times New Roman" w:cs="Times New Roman"/>
          <w:sz w:val="22"/>
          <w:szCs w:val="24"/>
        </w:rPr>
      </w:pPr>
      <w:r w:rsidRPr="00A84430">
        <w:rPr>
          <w:rFonts w:eastAsia="Times New Roman" w:cs="Times New Roman"/>
          <w:sz w:val="22"/>
          <w:szCs w:val="24"/>
        </w:rPr>
        <w:t>In summary, listening difficulties arise from a combination of basic decoding struggles and higher-level cognitive or psychological filters. While linguistic competence forms the foundation, factors such as anxiety and prior knowledge often determine the ultimate success of the comprehension process.</w:t>
      </w:r>
    </w:p>
    <w:p w:rsidR="0078651D" w:rsidRPr="00310003" w:rsidRDefault="0078651D" w:rsidP="0078651D">
      <w:pPr>
        <w:spacing w:before="120" w:after="120" w:line="240" w:lineRule="auto"/>
        <w:jc w:val="both"/>
        <w:rPr>
          <w:rFonts w:eastAsia="Times New Roman" w:cs="Times New Roman"/>
          <w:i/>
          <w:iCs/>
          <w:sz w:val="22"/>
          <w:szCs w:val="24"/>
        </w:rPr>
      </w:pPr>
      <w:r>
        <w:rPr>
          <w:rFonts w:eastAsia="Times New Roman" w:cs="Times New Roman"/>
          <w:i/>
          <w:iCs/>
          <w:sz w:val="22"/>
          <w:szCs w:val="24"/>
        </w:rPr>
        <w:t>2.1.</w:t>
      </w:r>
      <w:r>
        <w:rPr>
          <w:rFonts w:eastAsia="Times New Roman" w:cs="Times New Roman"/>
          <w:i/>
          <w:iCs/>
          <w:sz w:val="22"/>
          <w:szCs w:val="24"/>
          <w:lang w:val="vi-VN"/>
        </w:rPr>
        <w:t>4</w:t>
      </w:r>
      <w:r w:rsidRPr="00310003">
        <w:rPr>
          <w:rFonts w:eastAsia="Times New Roman" w:cs="Times New Roman"/>
          <w:i/>
          <w:iCs/>
          <w:sz w:val="22"/>
          <w:szCs w:val="24"/>
        </w:rPr>
        <w:t xml:space="preserve">. </w:t>
      </w:r>
      <w:r w:rsidRPr="0078651D">
        <w:rPr>
          <w:rFonts w:eastAsia="Times New Roman" w:cs="Times New Roman"/>
          <w:i/>
          <w:iCs/>
          <w:sz w:val="22"/>
          <w:szCs w:val="24"/>
        </w:rPr>
        <w:t>Factors Affecting Listening Performance</w:t>
      </w:r>
    </w:p>
    <w:p w:rsidR="0078651D" w:rsidRPr="0078651D" w:rsidRDefault="0078651D" w:rsidP="0078651D">
      <w:pPr>
        <w:spacing w:before="120" w:after="120" w:line="240" w:lineRule="auto"/>
        <w:ind w:firstLine="570"/>
        <w:jc w:val="both"/>
        <w:rPr>
          <w:rFonts w:eastAsia="Times New Roman" w:cs="Times New Roman"/>
          <w:sz w:val="22"/>
          <w:szCs w:val="24"/>
        </w:rPr>
      </w:pPr>
      <w:r w:rsidRPr="0078651D">
        <w:rPr>
          <w:rFonts w:eastAsia="Times New Roman" w:cs="Times New Roman"/>
          <w:sz w:val="22"/>
          <w:szCs w:val="24"/>
        </w:rPr>
        <w:t>Listening performance is widely recognized in applied linguistics as an "active-interpretive" process rather than a "passive-receptive" one. As argued in [16] and [24], successful comprehension is a product of the synchronization between three primary dimensions: the speaker, the listener, and the task/environment.</w:t>
      </w:r>
    </w:p>
    <w:p w:rsidR="0078651D" w:rsidRPr="0078651D" w:rsidRDefault="0078651D" w:rsidP="0078651D">
      <w:pPr>
        <w:spacing w:before="120" w:after="120" w:line="240" w:lineRule="auto"/>
        <w:ind w:firstLine="570"/>
        <w:jc w:val="both"/>
        <w:rPr>
          <w:rFonts w:eastAsia="Times New Roman" w:cs="Times New Roman"/>
          <w:sz w:val="22"/>
          <w:szCs w:val="24"/>
        </w:rPr>
      </w:pPr>
      <w:r w:rsidRPr="0078651D">
        <w:rPr>
          <w:rFonts w:eastAsia="Times New Roman" w:cs="Times New Roman"/>
          <w:bCs/>
          <w:sz w:val="22"/>
          <w:szCs w:val="24"/>
        </w:rPr>
        <w:t>Speaker-related factors</w:t>
      </w:r>
      <w:r w:rsidRPr="0078651D">
        <w:rPr>
          <w:rFonts w:eastAsia="Times New Roman" w:cs="Times New Roman"/>
          <w:sz w:val="22"/>
          <w:szCs w:val="24"/>
        </w:rPr>
        <w:t xml:space="preserve"> focus on the delivery characteristics of the acoustic signal. Research shows a "threshold of comprehension" regarding speech rate; for EFL learners, a rate exceeding 150-180 words per minute often leads to a parsing breakdown [25]. Beyond speed, the placement of pauses is crucial, as natural pauses provide the "processing time" necessary to consolidate meaning [26]. Furthermore, phonological variations and unfamiliar accents can obstruct decoding when they do not match the listener's internal "phonological templates" [27]. The absence of visual cues, such as body language and facial expressions, also increases task difficulty in academic settings [18].</w:t>
      </w:r>
    </w:p>
    <w:p w:rsidR="0078651D" w:rsidRPr="0078651D" w:rsidRDefault="0078651D" w:rsidP="0078651D">
      <w:pPr>
        <w:spacing w:before="120" w:after="120" w:line="240" w:lineRule="auto"/>
        <w:ind w:firstLine="570"/>
        <w:jc w:val="both"/>
        <w:rPr>
          <w:rFonts w:eastAsia="Times New Roman" w:cs="Times New Roman"/>
          <w:sz w:val="22"/>
          <w:szCs w:val="24"/>
        </w:rPr>
      </w:pPr>
      <w:r w:rsidRPr="0078651D">
        <w:rPr>
          <w:rFonts w:eastAsia="Times New Roman" w:cs="Times New Roman"/>
          <w:bCs/>
          <w:sz w:val="22"/>
          <w:szCs w:val="24"/>
        </w:rPr>
        <w:lastRenderedPageBreak/>
        <w:t>Listener-related factors</w:t>
      </w:r>
      <w:r w:rsidRPr="0078651D">
        <w:rPr>
          <w:rFonts w:eastAsia="Times New Roman" w:cs="Times New Roman"/>
          <w:sz w:val="22"/>
          <w:szCs w:val="24"/>
        </w:rPr>
        <w:t xml:space="preserve"> involve the internal variables of the learner. According to the "Linguistic Threshold Hypothesis," a certain level of formal language knowledge must be reached before higher-level cognitive strategies can be utilized [28]. Vocabulary size, in particular, remains a dominant predictor of success [20]. Beyond linguistic skill, "skilled listeners" are distinguished by their metacognitive awareness—the ability to plan, monitor, and evaluate their own process [12]. Affective factors also play a decisive role; high levels of anxiety create a mental block via the "affective filter" [11], while low self-efficacy can lead to "learned helplessness" and early disengagement [29]. Finally, the integration of background knowledge (schemata) is vital for "top-down" processing, allowing listeners to map new information onto existing mental frameworks [22].</w:t>
      </w:r>
    </w:p>
    <w:p w:rsidR="00A84430" w:rsidRPr="007A2E7B" w:rsidRDefault="0078651D" w:rsidP="0078651D">
      <w:pPr>
        <w:spacing w:before="120" w:after="120" w:line="240" w:lineRule="auto"/>
        <w:ind w:firstLine="570"/>
        <w:jc w:val="both"/>
        <w:rPr>
          <w:rFonts w:eastAsia="Times New Roman" w:cs="Times New Roman"/>
          <w:sz w:val="22"/>
          <w:szCs w:val="24"/>
        </w:rPr>
      </w:pPr>
      <w:r w:rsidRPr="0078651D">
        <w:rPr>
          <w:rFonts w:eastAsia="Times New Roman" w:cs="Times New Roman"/>
          <w:bCs/>
          <w:sz w:val="22"/>
          <w:szCs w:val="24"/>
        </w:rPr>
        <w:t>Task and Environment-related factors</w:t>
      </w:r>
      <w:r w:rsidRPr="0078651D">
        <w:rPr>
          <w:rFonts w:eastAsia="Times New Roman" w:cs="Times New Roman"/>
          <w:sz w:val="22"/>
          <w:szCs w:val="24"/>
        </w:rPr>
        <w:t xml:space="preserve"> encompass the external conditions of the listening activity. The difficulty is often defined by the cognitive demands of the task, such as information density and the authenticity of the material [18], [30]. High lexical density in academic lectures can exceed the working memory capacity of first-year students. Environmentally, the acoustic quality and signal-to-noise ratio (SNR) in lecture halls are critical; poor acoustics force listeners to rely too heavily on guessing to compensate for missing sounds [31]. Physical constraints, including external noise interference and environmental conditions like extreme heat, further exacerbate "listener fatigue," reducing the ability to maintain focus over time [9].</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t>The challenges associated with L2 listening comprehension have been a subject of extensive empirical investigation within the field of applied linguistics. Researchers globally have sought to identify the multifaceted variables that render listening the most cognitively demanding skill to master, focusing on diverse learner populations and pedagogical settings.</w:t>
      </w:r>
    </w:p>
    <w:p w:rsidR="00B737C8" w:rsidRPr="00B737C8" w:rsidRDefault="00B737C8" w:rsidP="00B737C8">
      <w:pPr>
        <w:spacing w:before="120" w:after="120" w:line="240" w:lineRule="auto"/>
        <w:jc w:val="both"/>
        <w:rPr>
          <w:rFonts w:eastAsia="Times New Roman" w:cs="Times New Roman"/>
          <w:i/>
          <w:iCs/>
          <w:sz w:val="22"/>
          <w:szCs w:val="24"/>
        </w:rPr>
      </w:pPr>
      <w:bookmarkStart w:id="1" w:name="_Toc224064765"/>
      <w:r w:rsidRPr="00B737C8">
        <w:rPr>
          <w:rFonts w:eastAsia="Times New Roman" w:cs="Times New Roman"/>
          <w:i/>
          <w:iCs/>
          <w:sz w:val="22"/>
          <w:szCs w:val="24"/>
        </w:rPr>
        <w:t>2.4.1 Global Perspectives</w:t>
      </w:r>
      <w:bookmarkEnd w:id="1"/>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t>On an international scale, research has predominantly focused on the cognitive architecture of listening and the linguistic hurdles encountered by EFL learners.</w:t>
      </w:r>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lastRenderedPageBreak/>
        <w:t>Goh [21] in a seminal study involving ESL learners, identified approximately 40 distinct listening impediments. These were theoretically categorized into three cognitive stages: perception (acoustic recognition), parsing (syntactic representation), and utilization (semantic interpretation). The findings indicated that a significant majority of difficulties arise during the perception stage, where learners fail to recognize familiar lexical items due to spontaneous phonological modifications in rapid speech.</w:t>
      </w:r>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t>Hasan [32] investigating the perceptions of EFL learners, identified that insufficient vocabulary and phonemic indistinctness constitute primary linguistic barriers. Furthermore, the study underscored that "text length" serves as a critical variable; an increase in duration correlates with a decline in attentional maintenance, thereby exacerbating comprehension failure.</w:t>
      </w:r>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t>Tsui and Fullilove [33] in a large-scale empirical study, analyzed data from high-stakes listening examinations to determine the role of prior knowledge. Their findings suggested that while schematic knowledge (top-down processing) is vital for making initial hypotheses, it cannot compensate for poor linguistic decoding skills. Specifically, less-skilled listeners often rely too heavily on their "world knowledge" to guess meanings, which leads to significant errors when the actual audio content contradicts their expectations. This underscores the necessity of balancing content-based schema with robust "bottom-up" phonological processing</w:t>
      </w:r>
    </w:p>
    <w:p w:rsidR="00B737C8" w:rsidRPr="00B737C8" w:rsidRDefault="00B737C8" w:rsidP="00B737C8">
      <w:pPr>
        <w:spacing w:before="120" w:after="120" w:line="240" w:lineRule="auto"/>
        <w:jc w:val="both"/>
        <w:rPr>
          <w:rFonts w:eastAsia="Times New Roman" w:cs="Times New Roman"/>
          <w:i/>
          <w:iCs/>
          <w:sz w:val="22"/>
          <w:szCs w:val="24"/>
        </w:rPr>
      </w:pPr>
      <w:bookmarkStart w:id="2" w:name="_Toc224064766"/>
      <w:r w:rsidRPr="00B737C8">
        <w:rPr>
          <w:rFonts w:eastAsia="Times New Roman" w:cs="Times New Roman"/>
          <w:i/>
          <w:iCs/>
          <w:sz w:val="22"/>
          <w:szCs w:val="24"/>
        </w:rPr>
        <w:t>2.4.2 Studies in the Vietnamese Context</w:t>
      </w:r>
      <w:bookmarkEnd w:id="2"/>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t>In the Vietnamese educational landscape, research has frequently examined how localized pedagogical traditions and environmental constraints contribute to listening deficiencies.</w:t>
      </w:r>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t>Do [34] emphasizes the fundamental role of listening skills, noting that listening accounts for approximately 45% of daily communication time. However, the author also highlights a concerning reality in English language teaching in Vietnam: students often remain passive in listening activities and lack effective listening strategies, while teachers tend to focus heavily on multiple-choice exercises rather than developing authentic listening competence.</w:t>
      </w:r>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lastRenderedPageBreak/>
        <w:t>Trinh and Pham [35] in a comprehensive study conducted at Dong Nai Technology University, categorized listening difficulties into linguistic and non-linguistic factors. Their findings revealed that an overwhelming majority of students struggle with linguistic barriers, specifically speech rate (86.2%), cultural differences (84.6%), and limited vocabulary (82.6%). Regarding non-linguistic factors, the length of listening passages was identified as a primary cause of fatigue and loss of concentration for 91.2% of participants.</w:t>
      </w:r>
    </w:p>
    <w:p w:rsidR="00B737C8" w:rsidRPr="00B737C8" w:rsidRDefault="00B737C8" w:rsidP="00B737C8">
      <w:pPr>
        <w:spacing w:before="120" w:after="120" w:line="240" w:lineRule="auto"/>
        <w:ind w:firstLine="567"/>
        <w:jc w:val="both"/>
        <w:rPr>
          <w:rFonts w:eastAsia="Times New Roman" w:cs="Times New Roman"/>
          <w:sz w:val="22"/>
          <w:szCs w:val="24"/>
        </w:rPr>
      </w:pPr>
      <w:r w:rsidRPr="00B737C8">
        <w:rPr>
          <w:rFonts w:eastAsia="Times New Roman" w:cs="Times New Roman"/>
          <w:sz w:val="22"/>
          <w:szCs w:val="24"/>
        </w:rPr>
        <w:t>Hoang, Doan, and Le [36] investigated the practical application of the Daily Dictation app as a tool to mitigate listening difficulties for non-English majors. The study confirms that traditional listening environments often lack the "instant feedback" necessary for students to recognize their phonological errors. By employing a mixed-methods approach, the authors demonstrated that consistent practice through dictation not only improves students' auditory recognition but also builds their metacognitive awareness</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3.  </w:t>
      </w:r>
      <w:r w:rsidRPr="0091628E">
        <w:rPr>
          <w:rFonts w:eastAsia="Times New Roman" w:cs="Times New Roman"/>
          <w:b/>
          <w:bCs/>
          <w:sz w:val="22"/>
          <w:szCs w:val="24"/>
        </w:rPr>
        <w:t>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3.1. Participant</w:t>
      </w:r>
    </w:p>
    <w:p w:rsidR="00540990" w:rsidRPr="00310003" w:rsidRDefault="00FF75CC" w:rsidP="00FF75CC">
      <w:pPr>
        <w:spacing w:before="120" w:after="120" w:line="240" w:lineRule="auto"/>
        <w:ind w:firstLine="570"/>
        <w:jc w:val="both"/>
        <w:rPr>
          <w:rFonts w:eastAsia="Times New Roman" w:cs="Times New Roman"/>
          <w:sz w:val="22"/>
          <w:szCs w:val="24"/>
        </w:rPr>
      </w:pPr>
      <w:r w:rsidRPr="00FF75CC">
        <w:rPr>
          <w:rFonts w:eastAsia="Times New Roman" w:cs="Times New Roman"/>
          <w:sz w:val="22"/>
          <w:szCs w:val="24"/>
        </w:rPr>
        <w:t xml:space="preserve">The study involves two distinct groups of participants to fulfill the requirements of the mixed-methods design. The first group consists of 70 first-year English Language majors at Quy Nhon University (QNU) who participate in the quantitative survey. These participants are selected via purposive sampling, as they are currently navigating the immediate challenges of transitioning from high school English curricula to more rigorous university-level listening requirements. This cohort provides a broad statistical baseline to identify the most prevalent linguistic and environmental barriers. Parallel to the survey, a separate group of 5 to 7 first-year English majors, who are not included in the initial survey pool, is invited to participate in the qualitative phase. This intentional separation of participants ensures that the interview data remains independent and is not influenced by the structured prompts of the questionnaire. The selection criteria for this interview group emphasize a diversity of English proficiency levels and academic backgrounds, allowing for a multifaceted exploration of students’ subjective perceptions of the transition gap. Participation </w:t>
      </w:r>
      <w:r w:rsidRPr="00FF75CC">
        <w:rPr>
          <w:rFonts w:eastAsia="Times New Roman" w:cs="Times New Roman"/>
          <w:sz w:val="22"/>
          <w:szCs w:val="24"/>
        </w:rPr>
        <w:lastRenderedPageBreak/>
        <w:t>across both groups is entirely voluntary and conducted under strict conditions of anonymity and confidentiality, ensuring that the self-reported difficulties are authentic and free from academic pressure</w:t>
      </w:r>
      <w:r w:rsidR="006E338E" w:rsidRPr="0031000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Research method</w:t>
      </w:r>
    </w:p>
    <w:p w:rsidR="00082FCB" w:rsidRPr="00082FCB" w:rsidRDefault="00082FCB" w:rsidP="00082FCB">
      <w:pPr>
        <w:spacing w:before="120" w:after="120" w:line="240" w:lineRule="auto"/>
        <w:ind w:firstLine="570"/>
        <w:jc w:val="both"/>
        <w:rPr>
          <w:rFonts w:eastAsia="Times New Roman" w:cs="Times New Roman"/>
          <w:sz w:val="22"/>
          <w:szCs w:val="24"/>
        </w:rPr>
      </w:pPr>
      <w:r w:rsidRPr="00082FCB">
        <w:rPr>
          <w:rFonts w:eastAsia="Times New Roman" w:cs="Times New Roman"/>
          <w:sz w:val="22"/>
          <w:szCs w:val="24"/>
        </w:rPr>
        <w:t>This research employs a mixed-methods approach, integrating both quantitative and qualitative research paradigms to investigate the listening difficulties of EFL freshmen. According to Creswell and Cre</w:t>
      </w:r>
      <w:r>
        <w:rPr>
          <w:rFonts w:eastAsia="Times New Roman" w:cs="Times New Roman"/>
          <w:sz w:val="22"/>
          <w:szCs w:val="24"/>
        </w:rPr>
        <w:t>swell [</w:t>
      </w:r>
      <w:r>
        <w:rPr>
          <w:rFonts w:eastAsia="Times New Roman" w:cs="Times New Roman"/>
          <w:sz w:val="22"/>
          <w:szCs w:val="24"/>
          <w:lang w:val="vi-VN"/>
        </w:rPr>
        <w:t>37</w:t>
      </w:r>
      <w:r w:rsidRPr="00082FCB">
        <w:rPr>
          <w:rFonts w:eastAsia="Times New Roman" w:cs="Times New Roman"/>
          <w:sz w:val="22"/>
          <w:szCs w:val="24"/>
        </w:rPr>
        <w:t>], a mixed-methods design is particularly effective as it allows the researcher to provide a more comprehensive understanding of the research problem by triangulating statistical trends with in-depth personal experiences.</w:t>
      </w:r>
    </w:p>
    <w:p w:rsidR="00082FCB" w:rsidRPr="00082FCB" w:rsidRDefault="00082FCB" w:rsidP="00082FCB">
      <w:pPr>
        <w:spacing w:before="120" w:after="120" w:line="240" w:lineRule="auto"/>
        <w:ind w:firstLine="570"/>
        <w:jc w:val="both"/>
        <w:rPr>
          <w:rFonts w:eastAsia="Times New Roman" w:cs="Times New Roman"/>
          <w:sz w:val="22"/>
          <w:szCs w:val="24"/>
        </w:rPr>
      </w:pPr>
      <w:r w:rsidRPr="00082FCB">
        <w:rPr>
          <w:rFonts w:eastAsia="Times New Roman" w:cs="Times New Roman"/>
          <w:sz w:val="22"/>
          <w:szCs w:val="24"/>
        </w:rPr>
        <w:t>In this study, a sequential explanatory design is adopted. First, the quantitative method is implemented through a structured questionnaire survey distributed to 70 first-year English majors at Quy Nhon University. This tool, as sugg</w:t>
      </w:r>
      <w:r>
        <w:rPr>
          <w:rFonts w:eastAsia="Times New Roman" w:cs="Times New Roman"/>
          <w:sz w:val="22"/>
          <w:szCs w:val="24"/>
        </w:rPr>
        <w:t>ested by Dörnyei and Taguchi [</w:t>
      </w:r>
      <w:r>
        <w:rPr>
          <w:rFonts w:eastAsia="Times New Roman" w:cs="Times New Roman"/>
          <w:sz w:val="22"/>
          <w:szCs w:val="24"/>
          <w:lang w:val="vi-VN"/>
        </w:rPr>
        <w:t>38</w:t>
      </w:r>
      <w:r w:rsidRPr="00082FCB">
        <w:rPr>
          <w:rFonts w:eastAsia="Times New Roman" w:cs="Times New Roman"/>
          <w:sz w:val="22"/>
          <w:szCs w:val="24"/>
        </w:rPr>
        <w:t>], is an efficient way to collect data regarding the frequency and intensity of linguistic and non-linguistic barriers. The questionnaire is designed in a bilingual format (English and Vietnamese) to ensure that participants—who are in a transitional phase—can accurately interpret the questions and report their difficulties without language-induced bias. The instrument utilizes a 5-point Likert scale to measure specific obstacles such as speech rate, vocabulary deficits, and classroom acoustics.</w:t>
      </w:r>
    </w:p>
    <w:p w:rsidR="00082FCB" w:rsidRDefault="00082FCB" w:rsidP="00082FCB">
      <w:pPr>
        <w:spacing w:before="120" w:after="120" w:line="240" w:lineRule="auto"/>
        <w:ind w:firstLine="570"/>
        <w:jc w:val="both"/>
        <w:rPr>
          <w:rFonts w:eastAsia="Times New Roman" w:cs="Times New Roman"/>
          <w:sz w:val="22"/>
          <w:szCs w:val="24"/>
        </w:rPr>
      </w:pPr>
      <w:r w:rsidRPr="00082FCB">
        <w:rPr>
          <w:rFonts w:eastAsia="Times New Roman" w:cs="Times New Roman"/>
          <w:sz w:val="22"/>
          <w:szCs w:val="24"/>
        </w:rPr>
        <w:t xml:space="preserve">Following the survey, the qualitative method is conducted via semi-structured interviews with a sub-group of 5 to 7 participants. As </w:t>
      </w:r>
      <w:r>
        <w:rPr>
          <w:rFonts w:eastAsia="Times New Roman" w:cs="Times New Roman"/>
          <w:sz w:val="22"/>
          <w:szCs w:val="24"/>
        </w:rPr>
        <w:t>noted by Kvale and Brinkmann [</w:t>
      </w:r>
      <w:r>
        <w:rPr>
          <w:rFonts w:eastAsia="Times New Roman" w:cs="Times New Roman"/>
          <w:sz w:val="22"/>
          <w:szCs w:val="24"/>
          <w:lang w:val="vi-VN"/>
        </w:rPr>
        <w:t>39</w:t>
      </w:r>
      <w:r w:rsidRPr="00082FCB">
        <w:rPr>
          <w:rFonts w:eastAsia="Times New Roman" w:cs="Times New Roman"/>
          <w:sz w:val="22"/>
          <w:szCs w:val="24"/>
        </w:rPr>
        <w:t>], semi-structured interviews are highly effective in exploring the "how" and "why" behind the quantitative results, particularly regarding students' affective states like listening anxiety and their habits of "mental translation." This interview framework allows participants to describe their "academic shock" during the transition from high school to university in their own words. The combination of these two methods ensures that the findings are both statistically grounded in the QNU context and rich in descriptive detail.</w:t>
      </w:r>
    </w:p>
    <w:p w:rsidR="00250503" w:rsidRPr="0091628E" w:rsidRDefault="00250503" w:rsidP="00250503">
      <w:pPr>
        <w:spacing w:before="120" w:after="120" w:line="240" w:lineRule="auto"/>
        <w:jc w:val="both"/>
        <w:rPr>
          <w:rFonts w:eastAsia="Times New Roman" w:cs="Times New Roman"/>
          <w:color w:val="FF0000"/>
          <w:sz w:val="22"/>
          <w:szCs w:val="24"/>
        </w:rPr>
      </w:pPr>
      <w:r w:rsidRPr="00310003">
        <w:rPr>
          <w:rFonts w:eastAsia="Times New Roman" w:cs="Times New Roman"/>
          <w:b/>
          <w:bCs/>
          <w:sz w:val="22"/>
          <w:szCs w:val="24"/>
        </w:rPr>
        <w:t>3.</w:t>
      </w:r>
      <w:r>
        <w:rPr>
          <w:rFonts w:eastAsia="Times New Roman" w:cs="Times New Roman"/>
          <w:b/>
          <w:bCs/>
          <w:sz w:val="22"/>
          <w:szCs w:val="24"/>
          <w:lang w:val="vi-VN"/>
        </w:rPr>
        <w:t>3</w:t>
      </w:r>
      <w:r w:rsidRPr="00310003">
        <w:rPr>
          <w:rFonts w:eastAsia="Times New Roman" w:cs="Times New Roman"/>
          <w:b/>
          <w:bCs/>
          <w:sz w:val="22"/>
          <w:szCs w:val="24"/>
        </w:rPr>
        <w:t xml:space="preserve">. </w:t>
      </w:r>
      <w:r w:rsidRPr="0091628E">
        <w:rPr>
          <w:rFonts w:eastAsia="Times New Roman" w:cs="Times New Roman"/>
          <w:b/>
          <w:bCs/>
          <w:sz w:val="22"/>
          <w:szCs w:val="24"/>
        </w:rPr>
        <w:t xml:space="preserve">Data </w:t>
      </w:r>
      <w:r w:rsidRPr="00310003">
        <w:rPr>
          <w:rFonts w:eastAsia="Times New Roman" w:cs="Times New Roman"/>
          <w:b/>
          <w:bCs/>
          <w:sz w:val="22"/>
          <w:szCs w:val="24"/>
        </w:rPr>
        <w:t>collection</w:t>
      </w:r>
      <w:r w:rsidRPr="0091628E">
        <w:rPr>
          <w:rFonts w:eastAsia="Times New Roman" w:cs="Times New Roman"/>
          <w:b/>
          <w:bCs/>
          <w:sz w:val="22"/>
          <w:szCs w:val="24"/>
        </w:rPr>
        <w:t xml:space="preserve"> </w:t>
      </w:r>
    </w:p>
    <w:p w:rsidR="00250503" w:rsidRPr="00082FCB" w:rsidRDefault="00250503" w:rsidP="00250503">
      <w:pPr>
        <w:spacing w:before="120" w:after="120" w:line="240" w:lineRule="auto"/>
        <w:ind w:firstLine="570"/>
        <w:jc w:val="both"/>
        <w:rPr>
          <w:rFonts w:eastAsia="Times New Roman" w:cs="Times New Roman"/>
          <w:sz w:val="22"/>
          <w:szCs w:val="24"/>
        </w:rPr>
      </w:pPr>
      <w:r w:rsidRPr="00426835">
        <w:rPr>
          <w:rFonts w:eastAsia="Times New Roman" w:cs="Times New Roman"/>
          <w:sz w:val="22"/>
          <w:szCs w:val="24"/>
        </w:rPr>
        <w:lastRenderedPageBreak/>
        <w:t>The data collection process is systematically conducted between September 2025 and June 2026, coinciding with the critical first year of the participants' undergraduate program at Quy Nhon University. In the initial phase, the structured questionnaire is distributed electronically to 70 first-year English majors to ensure a broad and efficient reach. Prior to engaging with the survey, all participants receive a comprehensive informed consent statement that explicitly outlines the research purpose, the rigorous confidentiality measures in place, and the strictly voluntary nature of their involvement. Following a preliminary analysis of the survey data to identify emerging patterns of listening barriers, the qualitative phase commences. A separate group of 5 to 10 interview participants is contacted individually to provide deeper insights into the transition gap. These semi-structured interviews, lasting approximately 10 to 20 minutes, are designed to capture the students' authentic voices and are audio-recorded with explicit prior consent. To maintain the highest ethical standards and ensure data integrity, all recordings are meticulously transcribed and fully anonymized before the formal analysis begins, ensuring that no personal identifiers are linked to the academic difficulties reported</w:t>
      </w:r>
      <w:r w:rsidRPr="0031000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00250503">
        <w:rPr>
          <w:rFonts w:eastAsia="Times New Roman" w:cs="Times New Roman"/>
          <w:b/>
          <w:bCs/>
          <w:sz w:val="22"/>
          <w:szCs w:val="24"/>
          <w:lang w:val="vi-VN"/>
        </w:rPr>
        <w:t>4</w:t>
      </w:r>
      <w:r w:rsidR="00540990" w:rsidRPr="00310003">
        <w:rPr>
          <w:rFonts w:eastAsia="Times New Roman" w:cs="Times New Roman"/>
          <w:b/>
          <w:bCs/>
          <w:sz w:val="22"/>
          <w:szCs w:val="24"/>
        </w:rPr>
        <w:t xml:space="preserve">. Data </w:t>
      </w:r>
      <w:r w:rsidR="00250503" w:rsidRPr="0091628E">
        <w:rPr>
          <w:rFonts w:eastAsia="Times New Roman" w:cs="Times New Roman"/>
          <w:b/>
          <w:bCs/>
          <w:sz w:val="22"/>
          <w:szCs w:val="24"/>
        </w:rPr>
        <w:t>analysis</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 xml:space="preserve">a) Quantitative </w:t>
      </w:r>
      <w:r w:rsidR="00250503" w:rsidRPr="00250503">
        <w:rPr>
          <w:rFonts w:eastAsia="Times New Roman" w:cs="Times New Roman"/>
          <w:sz w:val="22"/>
          <w:szCs w:val="24"/>
        </w:rPr>
        <w:t>analysis</w:t>
      </w:r>
      <w:r w:rsidRPr="00FD0FC3">
        <w:rPr>
          <w:rFonts w:eastAsia="Times New Roman" w:cs="Times New Roman"/>
          <w:sz w:val="22"/>
          <w:szCs w:val="24"/>
        </w:rPr>
        <w:t>:</w:t>
      </w:r>
    </w:p>
    <w:p w:rsidR="00FD0FC3" w:rsidRPr="00FD0FC3" w:rsidRDefault="00250503" w:rsidP="00FD0FC3">
      <w:pPr>
        <w:spacing w:before="120" w:after="120" w:line="240" w:lineRule="auto"/>
        <w:ind w:firstLine="570"/>
        <w:jc w:val="both"/>
        <w:rPr>
          <w:rFonts w:eastAsia="Times New Roman" w:cs="Times New Roman"/>
          <w:sz w:val="22"/>
          <w:szCs w:val="24"/>
        </w:rPr>
      </w:pPr>
      <w:r w:rsidRPr="00250503">
        <w:rPr>
          <w:rFonts w:eastAsia="Times New Roman" w:cs="Times New Roman"/>
          <w:sz w:val="22"/>
          <w:szCs w:val="24"/>
        </w:rPr>
        <w:t xml:space="preserve">The quantitative data gathered from the questionnaires are processed and analyzed using Microsoft Excel to identify the most significant listening barriers among the participants. Once the collection phase is complete, the raw responses are coded and entered into Excel </w:t>
      </w:r>
      <w:r w:rsidRPr="00250503">
        <w:rPr>
          <w:rFonts w:eastAsia="Times New Roman" w:cs="Times New Roman"/>
          <w:sz w:val="22"/>
          <w:szCs w:val="24"/>
        </w:rPr>
        <w:lastRenderedPageBreak/>
        <w:t>spreadsheets, where descriptive statistics—including frequencie</w:t>
      </w:r>
      <w:r>
        <w:rPr>
          <w:rFonts w:eastAsia="Times New Roman" w:cs="Times New Roman"/>
          <w:sz w:val="22"/>
          <w:szCs w:val="24"/>
        </w:rPr>
        <w:t xml:space="preserve">s, percentages, and mean </w:t>
      </w:r>
      <w:r>
        <w:rPr>
          <w:rFonts w:eastAsia="Times New Roman" w:cs="Times New Roman"/>
          <w:sz w:val="22"/>
          <w:szCs w:val="24"/>
          <w:lang w:val="vi-VN"/>
        </w:rPr>
        <w:t>scores-</w:t>
      </w:r>
      <w:r w:rsidRPr="00250503">
        <w:rPr>
          <w:rFonts w:eastAsia="Times New Roman" w:cs="Times New Roman"/>
          <w:sz w:val="22"/>
          <w:szCs w:val="24"/>
        </w:rPr>
        <w:t xml:space="preserve">are calculated for each survey item. Specifically, the analysis utilizes Excel’s functions to rank the various listening obstacles, such as speech rate and vocabulary limitations, based on the 5-point Likert scale data. This systematic processing allows for a clear visualization of the results through tables and charts, providing an empirical overview of the common difficulties faced by the 70 first-year English majors. By organizing the data in this manner, the researcher can accurately compare the impact of different factors and establish a reliable statistical baseline for the subsequent qualitative </w:t>
      </w:r>
      <w:r w:rsidRPr="00250503">
        <w:rPr>
          <w:rFonts w:eastAsia="Times New Roman" w:cs="Times New Roman"/>
          <w:sz w:val="22"/>
          <w:szCs w:val="24"/>
          <w:lang w:val="vi-VN"/>
        </w:rPr>
        <w:t>phase</w:t>
      </w:r>
      <w:r w:rsidR="00FD0FC3" w:rsidRPr="00FD0FC3">
        <w:rPr>
          <w:rFonts w:eastAsia="Times New Roman" w:cs="Times New Roman"/>
          <w:sz w:val="22"/>
          <w:szCs w:val="24"/>
        </w:rPr>
        <w: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 xml:space="preserve">b) Qualitative </w:t>
      </w:r>
      <w:r w:rsidR="00250503">
        <w:rPr>
          <w:rFonts w:eastAsia="Times New Roman" w:cs="Times New Roman"/>
          <w:sz w:val="22"/>
          <w:szCs w:val="24"/>
          <w:lang w:val="vi-VN"/>
        </w:rPr>
        <w:t>analysis</w:t>
      </w:r>
      <w:r w:rsidRPr="00FD0FC3">
        <w:rPr>
          <w:rFonts w:eastAsia="Times New Roman" w:cs="Times New Roman"/>
          <w:sz w:val="22"/>
          <w:szCs w:val="24"/>
        </w:rPr>
        <w:t>:</w:t>
      </w:r>
    </w:p>
    <w:p w:rsidR="00B65931" w:rsidRPr="00310003" w:rsidRDefault="00250503" w:rsidP="00250503">
      <w:pPr>
        <w:spacing w:before="120" w:after="120" w:line="240" w:lineRule="auto"/>
        <w:ind w:firstLine="570"/>
        <w:jc w:val="both"/>
        <w:rPr>
          <w:rFonts w:eastAsia="Times New Roman" w:cs="Times New Roman"/>
          <w:sz w:val="22"/>
          <w:szCs w:val="24"/>
        </w:rPr>
      </w:pPr>
      <w:r w:rsidRPr="00250503">
        <w:rPr>
          <w:rFonts w:eastAsia="Times New Roman" w:cs="Times New Roman"/>
          <w:sz w:val="22"/>
          <w:szCs w:val="24"/>
        </w:rPr>
        <w:t>Qualitative data from the interviews are analyzed using thematic analysis to provide a deeper explanation for the statistical results. The process begins with the verbatim transcription of audio recordings, followed by a systematic coding of recurring keywords and patterns. These codes are then categorized into key themes, such as cognitive challenges and emotional barriers during the transition to university English. This approach captures the subjective experiences of the 5 to 7 participants, ensuring that the research findings are enriched by authentic learner perspectives and lived realities at QNU</w:t>
      </w:r>
      <w:r w:rsidR="007A1A0C" w:rsidRPr="00310003">
        <w:rPr>
          <w:rFonts w:eastAsia="Times New Roman" w:cs="Times New Roman"/>
          <w:sz w:val="22"/>
          <w:szCs w:val="24"/>
        </w:rPr>
        <w:t>.</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t>4.1. Result</w:t>
      </w:r>
      <w:r w:rsidRPr="00310003">
        <w:rPr>
          <w:rFonts w:eastAsia="Times New Roman" w:cs="Times New Roman"/>
          <w:i/>
          <w:iCs/>
          <w:sz w:val="22"/>
          <w:szCs w:val="24"/>
        </w:rPr>
        <w:t xml:space="preserve"> </w:t>
      </w:r>
    </w:p>
    <w:p w:rsidR="0031224D" w:rsidRPr="00B22274" w:rsidRDefault="00965EAC" w:rsidP="0031224D">
      <w:pPr>
        <w:spacing w:before="120" w:after="120" w:line="240" w:lineRule="auto"/>
        <w:jc w:val="both"/>
        <w:rPr>
          <w:rFonts w:eastAsia="Times New Roman" w:cs="Times New Roman"/>
          <w:i/>
          <w:iCs/>
          <w:sz w:val="22"/>
          <w:szCs w:val="24"/>
        </w:rPr>
        <w:sectPr w:rsidR="0031224D" w:rsidRPr="00B22274" w:rsidSect="00540990">
          <w:type w:val="continuous"/>
          <w:pgSz w:w="12240" w:h="15840"/>
          <w:pgMar w:top="1134" w:right="1134" w:bottom="1134" w:left="1701" w:header="720" w:footer="720" w:gutter="0"/>
          <w:cols w:num="2" w:space="720"/>
          <w:docGrid w:linePitch="360"/>
        </w:sectPr>
      </w:pPr>
      <w:r w:rsidRPr="00310003">
        <w:rPr>
          <w:rFonts w:eastAsia="Times New Roman" w:cs="Times New Roman"/>
          <w:i/>
          <w:iCs/>
          <w:sz w:val="22"/>
          <w:szCs w:val="24"/>
        </w:rPr>
        <w:t xml:space="preserve">4.1.1. </w:t>
      </w:r>
      <w:r w:rsidR="00D629B7" w:rsidRPr="00D629B7">
        <w:rPr>
          <w:rFonts w:eastAsia="Times New Roman" w:cs="Times New Roman"/>
          <w:i/>
          <w:iCs/>
          <w:sz w:val="22"/>
          <w:szCs w:val="24"/>
        </w:rPr>
        <w:t>Common Listening Difficulties Faced by First-year Students</w:t>
      </w:r>
    </w:p>
    <w:p w:rsidR="0031224D" w:rsidRPr="00310003" w:rsidRDefault="0031224D" w:rsidP="0031224D">
      <w:pPr>
        <w:spacing w:before="120" w:after="120" w:line="240" w:lineRule="auto"/>
        <w:jc w:val="both"/>
        <w:rPr>
          <w:rFonts w:eastAsia="Times New Roman" w:cs="Times New Roman"/>
          <w:i/>
          <w:iCs/>
          <w:sz w:val="22"/>
          <w:szCs w:val="24"/>
        </w:rPr>
        <w:sectPr w:rsidR="0031224D" w:rsidRPr="00310003" w:rsidSect="00965EAC">
          <w:type w:val="continuous"/>
          <w:pgSz w:w="12240" w:h="15840"/>
          <w:pgMar w:top="1134" w:right="1134" w:bottom="1134" w:left="1701" w:header="720" w:footer="720" w:gutter="0"/>
          <w:cols w:space="720"/>
          <w:docGrid w:linePitch="360"/>
        </w:sectPr>
      </w:pPr>
    </w:p>
    <w:p w:rsidR="000321D0" w:rsidRPr="00310003" w:rsidRDefault="00D629B7" w:rsidP="00F831C6">
      <w:pPr>
        <w:keepNext/>
        <w:spacing w:before="240" w:after="120" w:line="240" w:lineRule="auto"/>
        <w:jc w:val="center"/>
        <w:rPr>
          <w:rFonts w:eastAsia="Times New Roman" w:cs="Times New Roman"/>
          <w:i/>
          <w:iCs/>
          <w:sz w:val="22"/>
          <w:szCs w:val="24"/>
        </w:rPr>
      </w:pPr>
      <w:r>
        <w:rPr>
          <w:i/>
          <w:noProof/>
          <w:sz w:val="13"/>
        </w:rPr>
        <w:lastRenderedPageBreak/>
        <w:drawing>
          <wp:inline distT="0" distB="0" distL="0" distR="0" wp14:anchorId="038E7CBB" wp14:editId="0C53BFB8">
            <wp:extent cx="3538220" cy="196813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a:extLst>
                        <a:ext uri="{28A0092B-C50C-407E-A947-70E740481C1C}">
                          <a14:useLocalDpi xmlns:a14="http://schemas.microsoft.com/office/drawing/2010/main" val="0"/>
                        </a:ext>
                      </a:extLst>
                    </a:blip>
                    <a:srcRect t="5977"/>
                    <a:stretch/>
                  </pic:blipFill>
                  <pic:spPr bwMode="auto">
                    <a:xfrm>
                      <a:off x="0" y="0"/>
                      <a:ext cx="3726438" cy="2072831"/>
                    </a:xfrm>
                    <a:prstGeom prst="rect">
                      <a:avLst/>
                    </a:prstGeom>
                    <a:noFill/>
                    <a:ln>
                      <a:noFill/>
                    </a:ln>
                    <a:extLst>
                      <a:ext uri="{53640926-AAD7-44D8-BBD7-CCE9431645EC}">
                        <a14:shadowObscured xmlns:a14="http://schemas.microsoft.com/office/drawing/2010/main"/>
                      </a:ext>
                    </a:extLst>
                  </pic:spPr>
                </pic:pic>
              </a:graphicData>
            </a:graphic>
          </wp:inline>
        </w:drawing>
      </w:r>
    </w:p>
    <w:p w:rsidR="000321D0" w:rsidRPr="00310003" w:rsidRDefault="000321D0" w:rsidP="00F831C6">
      <w:pPr>
        <w:keepNext/>
        <w:spacing w:before="240" w:after="120" w:line="240" w:lineRule="auto"/>
        <w:rPr>
          <w:rFonts w:eastAsia="Times New Roman" w:cs="Times New Roman"/>
          <w:iCs/>
          <w:sz w:val="22"/>
          <w:szCs w:val="24"/>
        </w:rPr>
        <w:sectPr w:rsidR="000321D0" w:rsidRPr="00310003" w:rsidSect="006C5ADC">
          <w:type w:val="continuous"/>
          <w:pgSz w:w="12240" w:h="15840"/>
          <w:pgMar w:top="1134" w:right="1134" w:bottom="1134" w:left="1701" w:header="720" w:footer="720" w:gutter="0"/>
          <w:cols w:space="720"/>
          <w:docGrid w:linePitch="360"/>
        </w:sectPr>
      </w:pPr>
      <w:r w:rsidRPr="00310003">
        <w:rPr>
          <w:b/>
          <w:sz w:val="20"/>
        </w:rPr>
        <w:t xml:space="preserve">Figure </w:t>
      </w:r>
      <w:r w:rsidRPr="00310003">
        <w:rPr>
          <w:b/>
          <w:i/>
          <w:sz w:val="20"/>
        </w:rPr>
        <w:fldChar w:fldCharType="begin"/>
      </w:r>
      <w:r w:rsidRPr="00310003">
        <w:rPr>
          <w:b/>
          <w:sz w:val="20"/>
        </w:rPr>
        <w:instrText xml:space="preserve"> SEQ Figure \* ARABIC </w:instrText>
      </w:r>
      <w:r w:rsidRPr="00310003">
        <w:rPr>
          <w:b/>
          <w:i/>
          <w:sz w:val="20"/>
        </w:rPr>
        <w:fldChar w:fldCharType="separate"/>
      </w:r>
      <w:r w:rsidR="00030CDC">
        <w:rPr>
          <w:b/>
          <w:noProof/>
          <w:sz w:val="20"/>
        </w:rPr>
        <w:t>1</w:t>
      </w:r>
      <w:r w:rsidRPr="00310003">
        <w:rPr>
          <w:b/>
          <w:i/>
          <w:sz w:val="20"/>
        </w:rPr>
        <w:fldChar w:fldCharType="end"/>
      </w:r>
      <w:r w:rsidRPr="00310003">
        <w:rPr>
          <w:b/>
          <w:sz w:val="20"/>
        </w:rPr>
        <w:t>.</w:t>
      </w:r>
      <w:r w:rsidRPr="00310003">
        <w:rPr>
          <w:sz w:val="20"/>
        </w:rPr>
        <w:t xml:space="preserve"> </w:t>
      </w:r>
      <w:r w:rsidR="00D629B7" w:rsidRPr="00D629B7">
        <w:rPr>
          <w:sz w:val="20"/>
          <w:lang w:val="vi-VN"/>
        </w:rPr>
        <w:t>Common Listening Difficulties</w:t>
      </w:r>
      <w:r w:rsidRPr="00310003">
        <w:rPr>
          <w:sz w:val="20"/>
        </w:rPr>
        <w:t>.</w:t>
      </w:r>
    </w:p>
    <w:p w:rsidR="000321D0" w:rsidRPr="00D629B7" w:rsidRDefault="00D629B7" w:rsidP="00B22274">
      <w:pPr>
        <w:keepNext/>
        <w:spacing w:before="120" w:after="120" w:line="240" w:lineRule="auto"/>
        <w:ind w:firstLine="570"/>
        <w:jc w:val="both"/>
        <w:rPr>
          <w:rFonts w:eastAsia="Times New Roman" w:cs="Times New Roman"/>
          <w:iCs/>
          <w:sz w:val="22"/>
          <w:szCs w:val="24"/>
          <w:lang w:val="vi-VN"/>
        </w:rPr>
      </w:pPr>
      <w:r w:rsidRPr="00D629B7">
        <w:rPr>
          <w:rFonts w:eastAsia="Times New Roman" w:cs="Times New Roman"/>
          <w:iCs/>
          <w:sz w:val="22"/>
          <w:szCs w:val="24"/>
        </w:rPr>
        <w:lastRenderedPageBreak/>
        <w:t xml:space="preserve">As indicated in </w:t>
      </w:r>
      <w:r w:rsidRPr="00D629B7">
        <w:rPr>
          <w:rFonts w:eastAsia="Times New Roman" w:cs="Times New Roman"/>
          <w:iCs/>
          <w:sz w:val="22"/>
          <w:szCs w:val="24"/>
          <w:lang w:val="vi-VN"/>
        </w:rPr>
        <w:t>Figure</w:t>
      </w:r>
      <w:r w:rsidRPr="00D629B7">
        <w:rPr>
          <w:rFonts w:eastAsia="Times New Roman" w:cs="Times New Roman"/>
          <w:iCs/>
          <w:sz w:val="22"/>
          <w:szCs w:val="24"/>
        </w:rPr>
        <w:t xml:space="preserve"> 1, the most dominant challenge identified by the respondents is the fast speech rate of native speakers, accounting for 42.9% of the total responses. This is followed closely by the burden of dense academic vocabulary (35.7%). These results </w:t>
      </w:r>
      <w:r w:rsidRPr="00D629B7">
        <w:rPr>
          <w:rFonts w:eastAsia="Times New Roman" w:cs="Times New Roman"/>
          <w:iCs/>
          <w:sz w:val="22"/>
          <w:szCs w:val="24"/>
        </w:rPr>
        <w:lastRenderedPageBreak/>
        <w:t xml:space="preserve">suggest that the primary struggle for first-year English majors at QNU is not necessarily the complexity of the tasks themselves, but rather the fundamental linguistic processing of natural </w:t>
      </w:r>
      <w:r>
        <w:rPr>
          <w:rFonts w:eastAsia="Times New Roman" w:cs="Times New Roman"/>
          <w:iCs/>
          <w:sz w:val="22"/>
          <w:szCs w:val="24"/>
          <w:lang w:val="vi-VN"/>
        </w:rPr>
        <w:t>speech.</w:t>
      </w:r>
    </w:p>
    <w:p w:rsidR="000321D0" w:rsidRPr="00310003" w:rsidRDefault="000321D0" w:rsidP="00F67B5B">
      <w:pPr>
        <w:keepNext/>
        <w:spacing w:before="120" w:after="120" w:line="240" w:lineRule="auto"/>
        <w:rPr>
          <w:rFonts w:eastAsia="Times New Roman" w:cs="Times New Roman"/>
          <w:iCs/>
          <w:sz w:val="22"/>
          <w:szCs w:val="24"/>
        </w:rPr>
        <w:sectPr w:rsidR="000321D0" w:rsidRPr="00310003" w:rsidSect="000321D0">
          <w:type w:val="continuous"/>
          <w:pgSz w:w="12240" w:h="15840"/>
          <w:pgMar w:top="1134" w:right="1134" w:bottom="1134" w:left="1701" w:header="720" w:footer="720" w:gutter="0"/>
          <w:cols w:num="2" w:space="720"/>
          <w:docGrid w:linePitch="360"/>
        </w:sectPr>
      </w:pPr>
    </w:p>
    <w:p w:rsidR="00F67B5B" w:rsidRDefault="00D629B7" w:rsidP="00F67B5B">
      <w:pPr>
        <w:keepNext/>
        <w:spacing w:before="120" w:after="120" w:line="240" w:lineRule="auto"/>
        <w:rPr>
          <w:rFonts w:eastAsia="Times New Roman" w:cs="Times New Roman"/>
          <w:i/>
          <w:iCs/>
          <w:sz w:val="22"/>
          <w:szCs w:val="24"/>
        </w:rPr>
      </w:pPr>
      <w:r>
        <w:rPr>
          <w:rFonts w:eastAsia="Times New Roman" w:cs="Times New Roman"/>
          <w:i/>
          <w:iCs/>
          <w:sz w:val="22"/>
          <w:szCs w:val="24"/>
        </w:rPr>
        <w:lastRenderedPageBreak/>
        <w:t>4.1.</w:t>
      </w:r>
      <w:r>
        <w:rPr>
          <w:rFonts w:eastAsia="Times New Roman" w:cs="Times New Roman"/>
          <w:i/>
          <w:iCs/>
          <w:sz w:val="22"/>
          <w:szCs w:val="24"/>
          <w:lang w:val="vi-VN"/>
        </w:rPr>
        <w:t>2</w:t>
      </w:r>
      <w:r w:rsidRPr="00D629B7">
        <w:rPr>
          <w:rFonts w:eastAsia="Times New Roman" w:cs="Times New Roman"/>
          <w:i/>
          <w:iCs/>
          <w:sz w:val="22"/>
          <w:szCs w:val="24"/>
        </w:rPr>
        <w:t xml:space="preserve">. </w:t>
      </w:r>
      <w:bookmarkStart w:id="3" w:name="_Toc224064783"/>
      <w:r w:rsidRPr="00D629B7">
        <w:rPr>
          <w:rFonts w:eastAsia="Times New Roman" w:cs="Times New Roman"/>
          <w:i/>
          <w:iCs/>
          <w:sz w:val="22"/>
          <w:szCs w:val="24"/>
        </w:rPr>
        <w:t>Analysis of Factors Causing Listening Challenges</w:t>
      </w:r>
      <w:bookmarkEnd w:id="3"/>
    </w:p>
    <w:p w:rsidR="00D629B7" w:rsidRDefault="00D629B7" w:rsidP="00D629B7">
      <w:pPr>
        <w:keepNext/>
        <w:spacing w:before="120" w:after="120" w:line="240" w:lineRule="auto"/>
        <w:rPr>
          <w:noProof/>
        </w:rPr>
      </w:pPr>
      <w:r>
        <w:rPr>
          <w:rFonts w:eastAsia="Times New Roman" w:cs="Times New Roman"/>
          <w:i/>
          <w:iCs/>
          <w:sz w:val="22"/>
          <w:szCs w:val="24"/>
        </w:rPr>
        <w:t>4.1.</w:t>
      </w:r>
      <w:r>
        <w:rPr>
          <w:rFonts w:eastAsia="Times New Roman" w:cs="Times New Roman"/>
          <w:i/>
          <w:iCs/>
          <w:sz w:val="22"/>
          <w:szCs w:val="24"/>
          <w:lang w:val="vi-VN"/>
        </w:rPr>
        <w:t>2</w:t>
      </w:r>
      <w:r>
        <w:rPr>
          <w:rFonts w:eastAsia="Times New Roman" w:cs="Times New Roman"/>
          <w:i/>
          <w:iCs/>
          <w:sz w:val="22"/>
          <w:szCs w:val="24"/>
        </w:rPr>
        <w:t>.</w:t>
      </w:r>
      <w:r>
        <w:rPr>
          <w:rFonts w:eastAsia="Times New Roman" w:cs="Times New Roman"/>
          <w:i/>
          <w:iCs/>
          <w:sz w:val="22"/>
          <w:szCs w:val="24"/>
          <w:lang w:val="vi-VN"/>
        </w:rPr>
        <w:t xml:space="preserve">1 </w:t>
      </w:r>
      <w:r w:rsidRPr="00D629B7">
        <w:rPr>
          <w:rFonts w:eastAsia="Times New Roman" w:cs="Times New Roman"/>
          <w:i/>
          <w:iCs/>
          <w:sz w:val="22"/>
          <w:szCs w:val="24"/>
          <w:lang w:val="vi-VN"/>
        </w:rPr>
        <w:t>Analysis of Listener-related Factors (Anxiety, Vocabulary, etc.)</w:t>
      </w:r>
    </w:p>
    <w:p w:rsidR="00B65931" w:rsidRPr="00310003" w:rsidRDefault="00D629B7" w:rsidP="00B22274">
      <w:pPr>
        <w:keepNext/>
        <w:spacing w:before="240" w:after="120" w:line="240" w:lineRule="auto"/>
        <w:jc w:val="center"/>
        <w:sectPr w:rsidR="00B65931" w:rsidRPr="00310003" w:rsidSect="006C5ADC">
          <w:type w:val="continuous"/>
          <w:pgSz w:w="12240" w:h="15840"/>
          <w:pgMar w:top="1134" w:right="1134" w:bottom="1134" w:left="1701" w:header="720" w:footer="720" w:gutter="0"/>
          <w:cols w:space="720"/>
          <w:docGrid w:linePitch="360"/>
        </w:sectPr>
      </w:pPr>
      <w:r>
        <w:rPr>
          <w:noProof/>
        </w:rPr>
        <w:drawing>
          <wp:inline distT="0" distB="0" distL="0" distR="0" wp14:anchorId="3FB254DE" wp14:editId="376E90F5">
            <wp:extent cx="4852289" cy="3331596"/>
            <wp:effectExtent l="0" t="0" r="571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7863" cy="3383485"/>
                    </a:xfrm>
                    <a:prstGeom prst="rect">
                      <a:avLst/>
                    </a:prstGeom>
                    <a:noFill/>
                    <a:ln>
                      <a:noFill/>
                    </a:ln>
                  </pic:spPr>
                </pic:pic>
              </a:graphicData>
            </a:graphic>
          </wp:inline>
        </w:drawing>
      </w:r>
    </w:p>
    <w:p w:rsidR="00B65931" w:rsidRPr="00310003" w:rsidRDefault="00874512" w:rsidP="00C708AC">
      <w:pPr>
        <w:pStyle w:val="Caption"/>
        <w:spacing w:before="240" w:after="120"/>
        <w:jc w:val="both"/>
        <w:rPr>
          <w:i w:val="0"/>
          <w:color w:val="auto"/>
          <w:sz w:val="20"/>
          <w:szCs w:val="20"/>
        </w:rPr>
      </w:pPr>
      <w:bookmarkStart w:id="4" w:name="_Toc162191056"/>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2</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4"/>
      <w:r w:rsidR="00D629B7" w:rsidRPr="00D629B7">
        <w:rPr>
          <w:i w:val="0"/>
          <w:color w:val="auto"/>
          <w:sz w:val="20"/>
          <w:szCs w:val="20"/>
        </w:rPr>
        <w:t>Listener-related Factors</w:t>
      </w:r>
      <w:r w:rsidR="006C5ADC" w:rsidRPr="00794CF0">
        <w:rPr>
          <w:i w:val="0"/>
          <w:color w:val="auto"/>
          <w:sz w:val="20"/>
          <w:szCs w:val="20"/>
        </w:rPr>
        <w:t>.</w:t>
      </w:r>
    </w:p>
    <w:p w:rsidR="00F67B5B" w:rsidRPr="00310003" w:rsidRDefault="00F67B5B" w:rsidP="00725B5E">
      <w:pPr>
        <w:spacing w:after="120" w:line="240" w:lineRule="auto"/>
        <w:rPr>
          <w:rFonts w:eastAsia="Times New Roman" w:cs="Times New Roman"/>
          <w:iCs/>
          <w:sz w:val="22"/>
          <w:szCs w:val="24"/>
        </w:rPr>
        <w:sectPr w:rsidR="00F67B5B" w:rsidRPr="00310003" w:rsidSect="006C5ADC">
          <w:type w:val="continuous"/>
          <w:pgSz w:w="12240" w:h="15840"/>
          <w:pgMar w:top="1134" w:right="1134" w:bottom="1134" w:left="1701" w:header="720" w:footer="720" w:gutter="0"/>
          <w:cols w:space="720"/>
          <w:docGrid w:linePitch="360"/>
        </w:sectPr>
      </w:pPr>
    </w:p>
    <w:p w:rsidR="006C5ADC" w:rsidRPr="00310003" w:rsidRDefault="00D629B7" w:rsidP="00033695">
      <w:pPr>
        <w:keepNext/>
        <w:spacing w:before="120" w:after="120" w:line="240" w:lineRule="auto"/>
        <w:ind w:firstLine="570"/>
        <w:jc w:val="both"/>
        <w:sectPr w:rsidR="006C5ADC" w:rsidRPr="00310003" w:rsidSect="00363FF0">
          <w:type w:val="continuous"/>
          <w:pgSz w:w="12240" w:h="15840"/>
          <w:pgMar w:top="1134" w:right="1134" w:bottom="1134" w:left="1701" w:header="720" w:footer="720" w:gutter="0"/>
          <w:cols w:num="2" w:space="720"/>
          <w:docGrid w:linePitch="360"/>
        </w:sectPr>
      </w:pPr>
      <w:r w:rsidRPr="00D629B7">
        <w:rPr>
          <w:rFonts w:eastAsia="Times New Roman" w:cs="Times New Roman"/>
          <w:iCs/>
          <w:sz w:val="22"/>
          <w:szCs w:val="24"/>
        </w:rPr>
        <w:lastRenderedPageBreak/>
        <w:t xml:space="preserve">The data indicates that listener-related factors are significant internal barriers. Most notably, 85.7% of students agreed that vocabulary deficiency is their primary obstacle, hindering their understanding of academic content. Furthermore, 78.6% of respondents admitted to the habit of mental translation, which causes a cognitive lag in processing. Regarding </w:t>
      </w:r>
      <w:r w:rsidRPr="00D629B7">
        <w:rPr>
          <w:rFonts w:eastAsia="Times New Roman" w:cs="Times New Roman"/>
          <w:iCs/>
          <w:sz w:val="22"/>
          <w:szCs w:val="24"/>
        </w:rPr>
        <w:lastRenderedPageBreak/>
        <w:t>psychological states, 68.6% of learners experienced anxiety and pressure at the start of tasks, significantly affecting their focus. Meanwhile, short-term memory issues were reported by only 45.7%, suggesting that memory loss is often a secondary consequence of vocabulary overload and emotional stress</w:t>
      </w:r>
      <w:r w:rsidR="00363FF0" w:rsidRPr="00310003">
        <w:rPr>
          <w:rFonts w:eastAsia="Times New Roman" w:cs="Times New Roman"/>
          <w:iCs/>
          <w:sz w:val="22"/>
          <w:szCs w:val="24"/>
        </w:rPr>
        <w:t>.</w:t>
      </w:r>
    </w:p>
    <w:p w:rsidR="00363FF0" w:rsidRPr="00310003" w:rsidRDefault="00363FF0" w:rsidP="008D4D4F">
      <w:pPr>
        <w:keepNext/>
        <w:spacing w:before="120" w:after="120" w:line="240" w:lineRule="auto"/>
        <w:jc w:val="center"/>
        <w:sectPr w:rsidR="00363FF0" w:rsidRPr="00310003" w:rsidSect="00B65931">
          <w:type w:val="continuous"/>
          <w:pgSz w:w="12240" w:h="15840"/>
          <w:pgMar w:top="1134" w:right="1134" w:bottom="1134" w:left="1701" w:header="720" w:footer="720" w:gutter="0"/>
          <w:cols w:space="720"/>
          <w:docGrid w:linePitch="360"/>
        </w:sectPr>
      </w:pPr>
    </w:p>
    <w:p w:rsidR="00D629B7" w:rsidRDefault="00D629B7" w:rsidP="00D629B7">
      <w:pPr>
        <w:keepNext/>
        <w:spacing w:before="120" w:after="120" w:line="240" w:lineRule="auto"/>
        <w:rPr>
          <w:noProof/>
        </w:rPr>
      </w:pPr>
      <w:r>
        <w:rPr>
          <w:rFonts w:eastAsia="Times New Roman" w:cs="Times New Roman"/>
          <w:i/>
          <w:iCs/>
          <w:sz w:val="22"/>
          <w:szCs w:val="24"/>
        </w:rPr>
        <w:lastRenderedPageBreak/>
        <w:t>4.1.</w:t>
      </w:r>
      <w:r>
        <w:rPr>
          <w:rFonts w:eastAsia="Times New Roman" w:cs="Times New Roman"/>
          <w:i/>
          <w:iCs/>
          <w:sz w:val="22"/>
          <w:szCs w:val="24"/>
          <w:lang w:val="vi-VN"/>
        </w:rPr>
        <w:t>2</w:t>
      </w:r>
      <w:r>
        <w:rPr>
          <w:rFonts w:eastAsia="Times New Roman" w:cs="Times New Roman"/>
          <w:i/>
          <w:iCs/>
          <w:sz w:val="22"/>
          <w:szCs w:val="24"/>
        </w:rPr>
        <w:t>.</w:t>
      </w:r>
      <w:r w:rsidR="00033695">
        <w:rPr>
          <w:rFonts w:eastAsia="Times New Roman" w:cs="Times New Roman"/>
          <w:i/>
          <w:iCs/>
          <w:sz w:val="22"/>
          <w:szCs w:val="24"/>
          <w:lang w:val="vi-VN"/>
        </w:rPr>
        <w:t>2</w:t>
      </w:r>
      <w:r>
        <w:rPr>
          <w:rFonts w:eastAsia="Times New Roman" w:cs="Times New Roman"/>
          <w:i/>
          <w:iCs/>
          <w:sz w:val="22"/>
          <w:szCs w:val="24"/>
          <w:lang w:val="vi-VN"/>
        </w:rPr>
        <w:t xml:space="preserve"> </w:t>
      </w:r>
      <w:r w:rsidR="00467E28" w:rsidRPr="00467E28">
        <w:rPr>
          <w:rFonts w:eastAsia="Times New Roman" w:cs="Times New Roman"/>
          <w:i/>
          <w:iCs/>
          <w:sz w:val="22"/>
          <w:szCs w:val="24"/>
          <w:lang w:val="vi-VN"/>
        </w:rPr>
        <w:t>Analysis of Speaker-related Factors (Speed, Accent)</w:t>
      </w:r>
    </w:p>
    <w:p w:rsidR="00725B5E" w:rsidRPr="00310003" w:rsidRDefault="00725B5E" w:rsidP="00B63E13">
      <w:pPr>
        <w:keepNext/>
        <w:spacing w:before="240" w:after="120" w:line="240" w:lineRule="auto"/>
        <w:jc w:val="center"/>
        <w:sectPr w:rsidR="00725B5E" w:rsidRPr="00310003" w:rsidSect="00B65931">
          <w:type w:val="continuous"/>
          <w:pgSz w:w="12240" w:h="15840"/>
          <w:pgMar w:top="1134" w:right="1134" w:bottom="1134" w:left="1701" w:header="720" w:footer="720" w:gutter="0"/>
          <w:cols w:space="720"/>
          <w:docGrid w:linePitch="360"/>
        </w:sectPr>
      </w:pPr>
    </w:p>
    <w:p w:rsidR="00725B5E" w:rsidRPr="00310003" w:rsidRDefault="00467E28" w:rsidP="00B63E13">
      <w:pPr>
        <w:keepNext/>
        <w:spacing w:before="240" w:after="120" w:line="240" w:lineRule="auto"/>
        <w:jc w:val="center"/>
        <w:sectPr w:rsidR="00725B5E" w:rsidRPr="00310003" w:rsidSect="00725B5E">
          <w:type w:val="continuous"/>
          <w:pgSz w:w="12240" w:h="15840"/>
          <w:pgMar w:top="1134" w:right="1134" w:bottom="1134" w:left="1701" w:header="720" w:footer="720" w:gutter="0"/>
          <w:cols w:space="720"/>
          <w:docGrid w:linePitch="360"/>
        </w:sectPr>
      </w:pPr>
      <w:r>
        <w:rPr>
          <w:noProof/>
        </w:rPr>
        <w:lastRenderedPageBreak/>
        <w:drawing>
          <wp:inline distT="0" distB="0" distL="0" distR="0" wp14:anchorId="145B80F6" wp14:editId="156F1079">
            <wp:extent cx="4261899" cy="2854326"/>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9618" cy="2872890"/>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pPr>
      <w:bookmarkStart w:id="5" w:name="_Toc162191057"/>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3</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5"/>
      <w:r w:rsidR="00467E28" w:rsidRPr="00467E28">
        <w:rPr>
          <w:i w:val="0"/>
          <w:color w:val="auto"/>
          <w:sz w:val="20"/>
          <w:szCs w:val="20"/>
        </w:rPr>
        <w:t>Speaker-related Factors</w:t>
      </w:r>
      <w:r w:rsidR="000A32A5" w:rsidRPr="00310003">
        <w:rPr>
          <w:i w:val="0"/>
          <w:color w:val="auto"/>
          <w:sz w:val="20"/>
          <w:szCs w:val="20"/>
        </w:rPr>
        <w:t>.</w:t>
      </w:r>
    </w:p>
    <w:p w:rsidR="00A4515B" w:rsidRPr="00310003" w:rsidRDefault="00A4515B" w:rsidP="00B63E13">
      <w:pPr>
        <w:spacing w:before="120" w:after="120" w:line="240" w:lineRule="auto"/>
        <w:jc w:val="both"/>
        <w:rPr>
          <w:rFonts w:eastAsia="Times New Roman" w:cs="Times New Roman"/>
          <w:iCs/>
          <w:sz w:val="22"/>
          <w:szCs w:val="24"/>
        </w:rPr>
        <w:sectPr w:rsidR="00A4515B" w:rsidRPr="00310003" w:rsidSect="00B65931">
          <w:type w:val="continuous"/>
          <w:pgSz w:w="12240" w:h="15840"/>
          <w:pgMar w:top="1134" w:right="1134" w:bottom="1134" w:left="1701" w:header="720" w:footer="720" w:gutter="0"/>
          <w:cols w:space="720"/>
          <w:docGrid w:linePitch="360"/>
        </w:sectPr>
      </w:pPr>
    </w:p>
    <w:p w:rsidR="000B3FBE" w:rsidRPr="00310003" w:rsidRDefault="00467E28" w:rsidP="00033695">
      <w:pPr>
        <w:spacing w:before="120" w:after="120" w:line="240" w:lineRule="auto"/>
        <w:ind w:firstLine="570"/>
        <w:jc w:val="both"/>
        <w:rPr>
          <w:rFonts w:eastAsia="Times New Roman" w:cs="Times New Roman"/>
          <w:iCs/>
          <w:sz w:val="22"/>
          <w:szCs w:val="24"/>
        </w:rPr>
      </w:pPr>
      <w:r w:rsidRPr="00467E28">
        <w:rPr>
          <w:rFonts w:eastAsia="Times New Roman" w:cs="Times New Roman"/>
          <w:iCs/>
          <w:sz w:val="22"/>
          <w:szCs w:val="24"/>
        </w:rPr>
        <w:lastRenderedPageBreak/>
        <w:t xml:space="preserve">The survey data reveals that speaker-related factors are major obstacles for freshmen, with speech rate being the most severe barrier. Specifically, 61 out of 70 students (87.1%) agreed that the native speaker's speed is too fast to process, including a significant 29 respondents who "Strongly Agree." Furthermore, the lack of sufficient pauses between ideas hinders 56 out of </w:t>
      </w:r>
      <w:r w:rsidRPr="00467E28">
        <w:rPr>
          <w:rFonts w:eastAsia="Times New Roman" w:cs="Times New Roman"/>
          <w:iCs/>
          <w:sz w:val="22"/>
          <w:szCs w:val="24"/>
        </w:rPr>
        <w:lastRenderedPageBreak/>
        <w:t>70 students (80%), leaving them inadequate time to decode auditory input before new information arrives. Finally, 50 out of 70 students (71.4%) admitted to being confused by various local accents. These findings demonstrate that a lack of exposure to natural speech rates and phonetic variations is a primary cause of comprehension breakdown among students at QNU</w:t>
      </w:r>
      <w:r w:rsidR="00A4515B" w:rsidRPr="00310003">
        <w:rPr>
          <w:rFonts w:eastAsia="Times New Roman" w:cs="Times New Roman"/>
          <w:iCs/>
          <w:sz w:val="22"/>
          <w:szCs w:val="24"/>
        </w:rPr>
        <w:t>.</w:t>
      </w:r>
    </w:p>
    <w:p w:rsidR="00A4515B" w:rsidRPr="00310003" w:rsidRDefault="00A4515B" w:rsidP="00540990">
      <w:pPr>
        <w:spacing w:before="120" w:after="120" w:line="240" w:lineRule="auto"/>
        <w:jc w:val="both"/>
        <w:rPr>
          <w:rFonts w:eastAsia="Times New Roman" w:cs="Times New Roman"/>
          <w:iCs/>
          <w:sz w:val="22"/>
          <w:szCs w:val="24"/>
        </w:rPr>
        <w:sectPr w:rsidR="00A4515B" w:rsidRPr="00310003" w:rsidSect="00A4515B">
          <w:type w:val="continuous"/>
          <w:pgSz w:w="12240" w:h="15840"/>
          <w:pgMar w:top="1134" w:right="1134" w:bottom="1134" w:left="1701" w:header="720" w:footer="720" w:gutter="0"/>
          <w:cols w:num="2" w:space="720"/>
          <w:docGrid w:linePitch="360"/>
        </w:sectPr>
      </w:pPr>
    </w:p>
    <w:p w:rsidR="000B3FBE" w:rsidRPr="00310003" w:rsidRDefault="000B3FBE" w:rsidP="00540990">
      <w:pPr>
        <w:spacing w:before="120" w:after="120" w:line="240" w:lineRule="auto"/>
        <w:jc w:val="both"/>
        <w:rPr>
          <w:rFonts w:eastAsia="Times New Roman" w:cs="Times New Roman"/>
          <w:iCs/>
          <w:sz w:val="22"/>
          <w:szCs w:val="24"/>
        </w:rPr>
        <w:sectPr w:rsidR="000B3FBE" w:rsidRPr="00310003" w:rsidSect="00B65931">
          <w:type w:val="continuous"/>
          <w:pgSz w:w="12240" w:h="15840"/>
          <w:pgMar w:top="1134" w:right="1134" w:bottom="1134" w:left="1701" w:header="720" w:footer="720" w:gutter="0"/>
          <w:cols w:space="720"/>
          <w:docGrid w:linePitch="360"/>
        </w:sectPr>
      </w:pPr>
    </w:p>
    <w:p w:rsidR="00574ACB" w:rsidRPr="00310003" w:rsidRDefault="00DB2CE0" w:rsidP="00574ACB">
      <w:pPr>
        <w:keepNext/>
        <w:spacing w:before="120" w:after="120" w:line="240" w:lineRule="auto"/>
        <w:rPr>
          <w:noProof/>
        </w:rPr>
      </w:pPr>
      <w:r>
        <w:rPr>
          <w:rFonts w:eastAsia="Times New Roman" w:cs="Times New Roman"/>
          <w:i/>
          <w:iCs/>
          <w:sz w:val="22"/>
          <w:szCs w:val="24"/>
        </w:rPr>
        <w:lastRenderedPageBreak/>
        <w:t>4.1.2.</w:t>
      </w:r>
      <w:r w:rsidR="00033695">
        <w:rPr>
          <w:rFonts w:eastAsia="Times New Roman" w:cs="Times New Roman"/>
          <w:i/>
          <w:iCs/>
          <w:sz w:val="22"/>
          <w:szCs w:val="24"/>
          <w:lang w:val="vi-VN"/>
        </w:rPr>
        <w:t>3</w:t>
      </w:r>
      <w:r w:rsidR="00574ACB" w:rsidRPr="00310003">
        <w:rPr>
          <w:rFonts w:eastAsia="Times New Roman" w:cs="Times New Roman"/>
          <w:i/>
          <w:iCs/>
          <w:sz w:val="22"/>
          <w:szCs w:val="24"/>
        </w:rPr>
        <w:t>.</w:t>
      </w:r>
      <w:r>
        <w:rPr>
          <w:rFonts w:eastAsia="Times New Roman" w:cs="Times New Roman"/>
          <w:i/>
          <w:iCs/>
          <w:sz w:val="22"/>
          <w:szCs w:val="24"/>
          <w:lang w:val="vi-VN"/>
        </w:rPr>
        <w:t xml:space="preserve"> </w:t>
      </w:r>
      <w:r w:rsidR="00033695" w:rsidRPr="00033695">
        <w:rPr>
          <w:rFonts w:eastAsia="Times New Roman" w:cs="Times New Roman"/>
          <w:i/>
          <w:iCs/>
          <w:sz w:val="22"/>
          <w:szCs w:val="24"/>
        </w:rPr>
        <w:t>Analysis of Environmental and Task-related Factors</w:t>
      </w:r>
    </w:p>
    <w:p w:rsidR="00574ACB" w:rsidRPr="00310003" w:rsidRDefault="00574ACB" w:rsidP="00540990">
      <w:pPr>
        <w:spacing w:before="120" w:after="120" w:line="240" w:lineRule="auto"/>
        <w:jc w:val="both"/>
        <w:rPr>
          <w:rFonts w:eastAsia="Times New Roman" w:cs="Times New Roman"/>
          <w:i/>
          <w:iCs/>
          <w:sz w:val="22"/>
          <w:szCs w:val="24"/>
        </w:rPr>
        <w:sectPr w:rsidR="00574ACB" w:rsidRPr="00310003" w:rsidSect="00540990">
          <w:type w:val="continuous"/>
          <w:pgSz w:w="12240" w:h="15840"/>
          <w:pgMar w:top="1134" w:right="1134" w:bottom="1134" w:left="1701" w:header="720" w:footer="720" w:gutter="0"/>
          <w:cols w:num="2" w:space="720"/>
          <w:docGrid w:linePitch="360"/>
        </w:sectPr>
      </w:pPr>
    </w:p>
    <w:p w:rsidR="00B65931" w:rsidRPr="00310003" w:rsidRDefault="00033695" w:rsidP="00C708AC">
      <w:pPr>
        <w:spacing w:before="240" w:after="120" w:line="240" w:lineRule="auto"/>
        <w:jc w:val="center"/>
        <w:rPr>
          <w:rFonts w:eastAsia="Times New Roman" w:cs="Times New Roman"/>
          <w:i/>
          <w:iCs/>
          <w:sz w:val="22"/>
          <w:szCs w:val="24"/>
        </w:rPr>
        <w:sectPr w:rsidR="00B65931" w:rsidRPr="00310003" w:rsidSect="00574ACB">
          <w:type w:val="continuous"/>
          <w:pgSz w:w="12240" w:h="15840"/>
          <w:pgMar w:top="1134" w:right="1134" w:bottom="1134" w:left="1701" w:header="720" w:footer="720" w:gutter="0"/>
          <w:cols w:space="720"/>
          <w:docGrid w:linePitch="360"/>
        </w:sectPr>
      </w:pPr>
      <w:r>
        <w:rPr>
          <w:noProof/>
        </w:rPr>
        <w:lastRenderedPageBreak/>
        <w:drawing>
          <wp:inline distT="0" distB="0" distL="0" distR="0" wp14:anchorId="6B1953F4" wp14:editId="45B6A7BC">
            <wp:extent cx="4023360" cy="2909087"/>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7522" cy="2977171"/>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6" w:name="_Toc162191058"/>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4</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6"/>
      <w:r w:rsidR="00033695" w:rsidRPr="00033695">
        <w:rPr>
          <w:i w:val="0"/>
          <w:color w:val="auto"/>
          <w:sz w:val="20"/>
          <w:szCs w:val="20"/>
        </w:rPr>
        <w:t>Environmental and Task-related Factors</w:t>
      </w:r>
      <w:r w:rsidR="000A32A5" w:rsidRPr="00310003">
        <w:rPr>
          <w:i w:val="0"/>
          <w:color w:val="auto"/>
          <w:sz w:val="20"/>
          <w:szCs w:val="20"/>
        </w:rPr>
        <w:t>.</w:t>
      </w:r>
    </w:p>
    <w:p w:rsidR="00B65931" w:rsidRPr="00310003" w:rsidRDefault="00033695" w:rsidP="00033695">
      <w:pPr>
        <w:spacing w:before="120" w:after="120" w:line="240" w:lineRule="auto"/>
        <w:ind w:firstLine="570"/>
        <w:jc w:val="both"/>
        <w:rPr>
          <w:rFonts w:eastAsia="Times New Roman" w:cs="Times New Roman"/>
          <w:sz w:val="22"/>
          <w:szCs w:val="24"/>
        </w:rPr>
        <w:sectPr w:rsidR="00B65931" w:rsidRPr="00310003" w:rsidSect="00540990">
          <w:type w:val="continuous"/>
          <w:pgSz w:w="12240" w:h="15840"/>
          <w:pgMar w:top="1134" w:right="1134" w:bottom="1134" w:left="1701" w:header="720" w:footer="720" w:gutter="0"/>
          <w:cols w:num="2" w:space="720"/>
          <w:docGrid w:linePitch="360"/>
        </w:sectPr>
      </w:pPr>
      <w:r w:rsidRPr="00033695">
        <w:rPr>
          <w:rFonts w:eastAsia="Times New Roman" w:cs="Times New Roman"/>
          <w:sz w:val="22"/>
          <w:szCs w:val="24"/>
        </w:rPr>
        <w:lastRenderedPageBreak/>
        <w:t xml:space="preserve">The survey data indicates that environmental and task-related factors also contribute significantly to listening difficulties, with task complexity being the most prominent. Specifically, 56 out of 70 students (80%) agreed that note-taking tasks are too complex and stressful, including 24 respondents who "Strongly Agree." Regarding environmental factors, 48 out of 70 students (68.6%) reported being distracted </w:t>
      </w:r>
      <w:r w:rsidRPr="00033695">
        <w:rPr>
          <w:rFonts w:eastAsia="Times New Roman" w:cs="Times New Roman"/>
          <w:sz w:val="22"/>
          <w:szCs w:val="24"/>
        </w:rPr>
        <w:lastRenderedPageBreak/>
        <w:t>by external noise, while 37 out of 70 students (52.9%) felt that poor sound quality (e.g., crackling speakers) hindered their listening. These findings suggest that alongside linguistic barriers, the physical learning environment and the demanding nature of university-level tasks create a "double burden" on the information processing capacity of freshmen at QNU</w:t>
      </w:r>
      <w:r w:rsidR="00540990" w:rsidRPr="00310003">
        <w:rPr>
          <w:rFonts w:eastAsia="Times New Roman" w:cs="Times New Roman"/>
          <w:sz w:val="22"/>
          <w:szCs w:val="24"/>
        </w:rPr>
        <w:t>.</w:t>
      </w:r>
    </w:p>
    <w:p w:rsidR="00574ACB" w:rsidRPr="00310003" w:rsidRDefault="00574ACB" w:rsidP="00574ACB">
      <w:pPr>
        <w:keepNext/>
        <w:spacing w:before="120" w:after="120" w:line="240" w:lineRule="auto"/>
        <w:rPr>
          <w:rFonts w:eastAsia="Times New Roman" w:cs="Times New Roman"/>
          <w:i/>
          <w:iCs/>
          <w:sz w:val="22"/>
          <w:szCs w:val="24"/>
        </w:rPr>
      </w:pPr>
    </w:p>
    <w:p w:rsidR="00C00D58" w:rsidRPr="00033695" w:rsidRDefault="00C00D58" w:rsidP="00033695">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4.1.3</w:t>
      </w:r>
      <w:r w:rsidR="00574ACB" w:rsidRPr="00310003">
        <w:rPr>
          <w:rFonts w:eastAsia="Times New Roman" w:cs="Times New Roman"/>
          <w:i/>
          <w:iCs/>
          <w:sz w:val="22"/>
          <w:szCs w:val="24"/>
        </w:rPr>
        <w:t xml:space="preserve">. </w:t>
      </w:r>
      <w:r w:rsidR="00033695" w:rsidRPr="00033695">
        <w:rPr>
          <w:rFonts w:eastAsia="Times New Roman" w:cs="Times New Roman"/>
          <w:i/>
          <w:iCs/>
          <w:sz w:val="22"/>
          <w:szCs w:val="24"/>
        </w:rPr>
        <w:t>Students’ Perceptions of the Transition from High School to University Listening</w:t>
      </w:r>
    </w:p>
    <w:p w:rsidR="00874512" w:rsidRPr="00310003" w:rsidRDefault="00033695" w:rsidP="008E6DFB">
      <w:pPr>
        <w:keepNext/>
        <w:spacing w:before="240" w:after="120" w:line="240" w:lineRule="auto"/>
        <w:jc w:val="center"/>
      </w:pPr>
      <w:r>
        <w:rPr>
          <w:noProof/>
        </w:rPr>
        <w:drawing>
          <wp:inline distT="0" distB="0" distL="0" distR="0" wp14:anchorId="30ED18C0" wp14:editId="12DB4875">
            <wp:extent cx="5045834" cy="3267986"/>
            <wp:effectExtent l="0" t="0" r="254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3">
                      <a:extLst>
                        <a:ext uri="{28A0092B-C50C-407E-A947-70E740481C1C}">
                          <a14:useLocalDpi xmlns:a14="http://schemas.microsoft.com/office/drawing/2010/main" val="0"/>
                        </a:ext>
                      </a:extLst>
                    </a:blip>
                    <a:srcRect t="6466" b="2197"/>
                    <a:stretch/>
                  </pic:blipFill>
                  <pic:spPr bwMode="auto">
                    <a:xfrm>
                      <a:off x="0" y="0"/>
                      <a:ext cx="5068738" cy="3282820"/>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7" w:name="_Toc162191059"/>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5</w:t>
      </w:r>
      <w:r w:rsidRPr="00310003">
        <w:rPr>
          <w:b/>
          <w:i w:val="0"/>
          <w:color w:val="auto"/>
          <w:sz w:val="20"/>
          <w:szCs w:val="20"/>
        </w:rPr>
        <w:fldChar w:fldCharType="end"/>
      </w:r>
      <w:r w:rsidR="00C00D58" w:rsidRPr="00310003">
        <w:rPr>
          <w:b/>
          <w:i w:val="0"/>
          <w:color w:val="auto"/>
          <w:sz w:val="20"/>
          <w:szCs w:val="20"/>
        </w:rPr>
        <w:t>.</w:t>
      </w:r>
      <w:r w:rsidRPr="00310003">
        <w:rPr>
          <w:i w:val="0"/>
          <w:color w:val="auto"/>
          <w:sz w:val="20"/>
          <w:szCs w:val="20"/>
        </w:rPr>
        <w:t xml:space="preserve"> </w:t>
      </w:r>
      <w:bookmarkEnd w:id="7"/>
      <w:r w:rsidR="00033695" w:rsidRPr="00033695">
        <w:rPr>
          <w:i w:val="0"/>
          <w:color w:val="auto"/>
          <w:sz w:val="20"/>
          <w:szCs w:val="20"/>
        </w:rPr>
        <w:t>Students’ Comparisons between High School and University Listening Requirements</w:t>
      </w:r>
      <w:r w:rsidR="000A32A5" w:rsidRPr="00310003">
        <w:rPr>
          <w:i w:val="0"/>
          <w:color w:val="auto"/>
          <w:sz w:val="20"/>
          <w:szCs w:val="20"/>
        </w:rPr>
        <w:t>.</w:t>
      </w:r>
    </w:p>
    <w:p w:rsidR="00540990" w:rsidRPr="00310003" w:rsidRDefault="00033695" w:rsidP="00033695">
      <w:pPr>
        <w:spacing w:before="120" w:after="120" w:line="240" w:lineRule="auto"/>
        <w:ind w:firstLine="570"/>
        <w:jc w:val="both"/>
        <w:rPr>
          <w:rFonts w:eastAsia="Times New Roman" w:cs="Times New Roman"/>
          <w:sz w:val="22"/>
          <w:szCs w:val="24"/>
        </w:rPr>
      </w:pPr>
      <w:r w:rsidRPr="00033695">
        <w:rPr>
          <w:rFonts w:eastAsia="Times New Roman" w:cs="Times New Roman"/>
          <w:sz w:val="22"/>
          <w:szCs w:val="24"/>
        </w:rPr>
        <w:lastRenderedPageBreak/>
        <w:t xml:space="preserve">The data from Figure 4.4 illustrates a profound "academic shock" among freshmen during their transition to university-level listening. An overwhelming 92% of students strongly agree that the speech rate at university is much faster and more natural than the pedagogical audio used in high school. Similarly, 88% of respondents perceive university listening materials as significantly more difficult, which is closely linked to the increased task complexity; 80% of students feel that university requirements </w:t>
      </w:r>
      <w:r w:rsidRPr="00033695">
        <w:rPr>
          <w:rFonts w:eastAsia="Times New Roman" w:cs="Times New Roman"/>
          <w:sz w:val="22"/>
          <w:szCs w:val="24"/>
        </w:rPr>
        <w:lastRenderedPageBreak/>
        <w:t>like note-taking are far more demanding than the simple multiple-choice formats they were accustomed to. Consequently, 75% of participants believe their high school English background did not sufficiently prepare them for these new challenges. These findings highlight a significant pedagogical gap, where the sudden shift in linguistic speed and task rigor leaves many students feeling overwhelmed by the higher academic standards at QNU</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B22274" w:rsidRDefault="00B22274" w:rsidP="00033695">
      <w:pPr>
        <w:keepNext/>
        <w:spacing w:before="120" w:after="120" w:line="240" w:lineRule="auto"/>
        <w:jc w:val="both"/>
        <w:rPr>
          <w:rFonts w:eastAsia="Times New Roman" w:cs="Times New Roman"/>
          <w:i/>
          <w:iCs/>
          <w:sz w:val="22"/>
          <w:szCs w:val="24"/>
        </w:rPr>
      </w:pPr>
    </w:p>
    <w:p w:rsidR="00033695" w:rsidRDefault="00033695" w:rsidP="00033695">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4.1.3. </w:t>
      </w:r>
      <w:r w:rsidRPr="00033695">
        <w:rPr>
          <w:rFonts w:eastAsia="Times New Roman" w:cs="Times New Roman"/>
          <w:i/>
          <w:iCs/>
          <w:sz w:val="22"/>
          <w:szCs w:val="24"/>
        </w:rPr>
        <w:t>Strategies &amp; Solutions</w:t>
      </w:r>
    </w:p>
    <w:p w:rsidR="00540990" w:rsidRPr="00310003" w:rsidRDefault="00033695" w:rsidP="00540990">
      <w:pPr>
        <w:spacing w:before="120" w:after="120" w:line="240" w:lineRule="auto"/>
        <w:jc w:val="both"/>
        <w:rPr>
          <w:rFonts w:eastAsia="Times New Roman" w:cs="Times New Roman"/>
          <w:sz w:val="22"/>
          <w:szCs w:val="24"/>
        </w:rPr>
      </w:pPr>
      <w:r>
        <w:rPr>
          <w:rFonts w:eastAsia="Times New Roman" w:cs="Times New Roman"/>
          <w:i/>
          <w:iCs/>
          <w:sz w:val="22"/>
          <w:szCs w:val="24"/>
        </w:rPr>
        <w:t>4.1.3.</w:t>
      </w:r>
      <w:r>
        <w:rPr>
          <w:rFonts w:eastAsia="Times New Roman" w:cs="Times New Roman"/>
          <w:i/>
          <w:iCs/>
          <w:sz w:val="22"/>
          <w:szCs w:val="24"/>
          <w:lang w:val="vi-VN"/>
        </w:rPr>
        <w:t>1</w:t>
      </w:r>
      <w:r w:rsidR="00540990" w:rsidRPr="00310003">
        <w:rPr>
          <w:rFonts w:eastAsia="Times New Roman" w:cs="Times New Roman"/>
          <w:i/>
          <w:iCs/>
          <w:sz w:val="22"/>
          <w:szCs w:val="24"/>
        </w:rPr>
        <w:t xml:space="preserve">. </w:t>
      </w:r>
      <w:r w:rsidRPr="00033695">
        <w:rPr>
          <w:rFonts w:eastAsia="Times New Roman" w:cs="Times New Roman"/>
          <w:i/>
          <w:iCs/>
          <w:sz w:val="22"/>
          <w:szCs w:val="24"/>
        </w:rPr>
        <w:t>Students’ Expectations for Pedagogical Support</w:t>
      </w:r>
    </w:p>
    <w:p w:rsidR="007D40FF" w:rsidRPr="00310003" w:rsidRDefault="007D40FF" w:rsidP="008E6DFB">
      <w:pPr>
        <w:keepNext/>
        <w:spacing w:before="240" w:after="120" w:line="240" w:lineRule="auto"/>
        <w:jc w:val="center"/>
        <w:sectPr w:rsidR="007D40FF" w:rsidRPr="00310003" w:rsidSect="00B65931">
          <w:type w:val="continuous"/>
          <w:pgSz w:w="12240" w:h="15840"/>
          <w:pgMar w:top="1134" w:right="1134" w:bottom="1134" w:left="1701" w:header="720" w:footer="720" w:gutter="0"/>
          <w:cols w:space="720"/>
          <w:docGrid w:linePitch="360"/>
        </w:sectPr>
      </w:pPr>
    </w:p>
    <w:p w:rsidR="00874512" w:rsidRPr="00310003" w:rsidRDefault="00033695" w:rsidP="007D40FF">
      <w:pPr>
        <w:keepNext/>
        <w:spacing w:before="240" w:after="120" w:line="240" w:lineRule="auto"/>
        <w:jc w:val="center"/>
      </w:pPr>
      <w:r>
        <w:rPr>
          <w:noProof/>
        </w:rPr>
        <w:lastRenderedPageBreak/>
        <w:drawing>
          <wp:inline distT="0" distB="0" distL="0" distR="0" wp14:anchorId="50B32230" wp14:editId="03337A09">
            <wp:extent cx="3609340" cy="2717379"/>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a:extLst>
                        <a:ext uri="{28A0092B-C50C-407E-A947-70E740481C1C}">
                          <a14:useLocalDpi xmlns:a14="http://schemas.microsoft.com/office/drawing/2010/main" val="0"/>
                        </a:ext>
                      </a:extLst>
                    </a:blip>
                    <a:srcRect t="7070"/>
                    <a:stretch/>
                  </pic:blipFill>
                  <pic:spPr bwMode="auto">
                    <a:xfrm>
                      <a:off x="0" y="0"/>
                      <a:ext cx="3609340" cy="2717379"/>
                    </a:xfrm>
                    <a:prstGeom prst="rect">
                      <a:avLst/>
                    </a:prstGeom>
                    <a:noFill/>
                    <a:ln>
                      <a:noFill/>
                    </a:ln>
                    <a:extLst>
                      <a:ext uri="{53640926-AAD7-44D8-BBD7-CCE9431645EC}">
                        <a14:shadowObscured xmlns:a14="http://schemas.microsoft.com/office/drawing/2010/main"/>
                      </a:ext>
                    </a:extLst>
                  </pic:spPr>
                </pic:pic>
              </a:graphicData>
            </a:graphic>
          </wp:inline>
        </w:drawing>
      </w:r>
    </w:p>
    <w:p w:rsidR="00540990" w:rsidRPr="00310003" w:rsidRDefault="00874512" w:rsidP="008E6DFB">
      <w:pPr>
        <w:pStyle w:val="Caption"/>
        <w:spacing w:before="240" w:after="120"/>
        <w:jc w:val="both"/>
        <w:rPr>
          <w:rFonts w:eastAsia="Times New Roman" w:cs="Times New Roman"/>
          <w:i w:val="0"/>
          <w:color w:val="auto"/>
          <w:sz w:val="20"/>
          <w:szCs w:val="20"/>
        </w:rPr>
      </w:pPr>
      <w:bookmarkStart w:id="8" w:name="_Toc162191060"/>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6</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8"/>
      <w:r w:rsidR="00033695" w:rsidRPr="00033695">
        <w:rPr>
          <w:i w:val="0"/>
          <w:color w:val="auto"/>
          <w:sz w:val="20"/>
          <w:szCs w:val="20"/>
        </w:rPr>
        <w:t>Preferred Types of Lecturer Support for Listening Improvement</w:t>
      </w:r>
      <w:r w:rsidR="000A32A5" w:rsidRPr="00310003">
        <w:rPr>
          <w:i w:val="0"/>
          <w:color w:val="auto"/>
          <w:sz w:val="20"/>
          <w:szCs w:val="20"/>
        </w:rPr>
        <w:t>.</w:t>
      </w:r>
    </w:p>
    <w:p w:rsidR="00B65931" w:rsidRPr="00310003" w:rsidRDefault="00B65931" w:rsidP="008E6DFB">
      <w:pPr>
        <w:spacing w:before="120" w:after="120" w:line="240" w:lineRule="auto"/>
        <w:ind w:firstLine="567"/>
        <w:jc w:val="both"/>
        <w:rPr>
          <w:rFonts w:eastAsia="Times New Roman" w:cs="Times New Roman"/>
          <w:sz w:val="22"/>
          <w:szCs w:val="24"/>
        </w:rPr>
        <w:sectPr w:rsidR="00B65931" w:rsidRPr="00310003" w:rsidSect="00B65931">
          <w:type w:val="continuous"/>
          <w:pgSz w:w="12240" w:h="15840"/>
          <w:pgMar w:top="1134" w:right="1134" w:bottom="1134" w:left="1701" w:header="720" w:footer="720" w:gutter="0"/>
          <w:cols w:space="720"/>
          <w:docGrid w:linePitch="360"/>
        </w:sectPr>
      </w:pPr>
    </w:p>
    <w:p w:rsidR="00540990" w:rsidRPr="00310003" w:rsidRDefault="00033695" w:rsidP="00033695">
      <w:pPr>
        <w:spacing w:before="120" w:after="120" w:line="240" w:lineRule="auto"/>
        <w:ind w:firstLine="570"/>
        <w:jc w:val="both"/>
        <w:rPr>
          <w:rFonts w:eastAsia="Times New Roman" w:cs="Times New Roman"/>
          <w:sz w:val="22"/>
          <w:szCs w:val="24"/>
        </w:rPr>
      </w:pPr>
      <w:r w:rsidRPr="00033695">
        <w:rPr>
          <w:rFonts w:eastAsia="Times New Roman" w:cs="Times New Roman"/>
          <w:sz w:val="22"/>
          <w:szCs w:val="24"/>
        </w:rPr>
        <w:lastRenderedPageBreak/>
        <w:t xml:space="preserve">The survey results regarding pedagogical expectations reveal that students look for structured guidance to overcome their listening barriers. As shown in Figure 4.6, the highest proportion of respondents (35.7%, equivalent to 25 students) expressed a desire for explicit instruction on listening strategies, such as note-taking and predicting. This is closely followed by 31.4% of students who emphasized the importance of pre-listening support, specifically through the explanation of vocabulary and </w:t>
      </w:r>
      <w:r w:rsidRPr="00033695">
        <w:rPr>
          <w:rFonts w:eastAsia="Times New Roman" w:cs="Times New Roman"/>
          <w:sz w:val="22"/>
          <w:szCs w:val="24"/>
        </w:rPr>
        <w:lastRenderedPageBreak/>
        <w:t>background knowledge. Meanwhile, 17.2% of participants hoped for detailed feedback on pronunciation and linking sounds post-lesson, and 15.7% preferred more authentic listening materials like YouTube or Podcasts. These findings suggest that while freshmen are eager to engage with real-world English, their immediate priority is mastering the technical strategies and foundational vocabulary necessary to navigate university-level academic tasks effectively</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033695" w:rsidP="00540990">
      <w:pPr>
        <w:spacing w:before="120" w:after="120" w:line="240" w:lineRule="auto"/>
        <w:jc w:val="both"/>
        <w:rPr>
          <w:rFonts w:eastAsia="Times New Roman" w:cs="Times New Roman"/>
          <w:sz w:val="22"/>
          <w:szCs w:val="24"/>
        </w:rPr>
      </w:pPr>
      <w:r>
        <w:rPr>
          <w:rFonts w:eastAsia="Times New Roman" w:cs="Times New Roman"/>
          <w:i/>
          <w:iCs/>
          <w:sz w:val="22"/>
          <w:szCs w:val="24"/>
        </w:rPr>
        <w:t>4.1.3.</w:t>
      </w:r>
      <w:r>
        <w:rPr>
          <w:rFonts w:eastAsia="Times New Roman" w:cs="Times New Roman"/>
          <w:i/>
          <w:iCs/>
          <w:sz w:val="22"/>
          <w:szCs w:val="24"/>
          <w:lang w:val="vi-VN"/>
        </w:rPr>
        <w:t xml:space="preserve">2 </w:t>
      </w:r>
      <w:r w:rsidRPr="00033695">
        <w:rPr>
          <w:rFonts w:eastAsia="Times New Roman" w:cs="Times New Roman"/>
          <w:i/>
          <w:iCs/>
          <w:sz w:val="22"/>
          <w:szCs w:val="24"/>
        </w:rPr>
        <w:t>Perceived Effectiveness of Self-study Strategies</w:t>
      </w:r>
    </w:p>
    <w:p w:rsidR="00874512" w:rsidRPr="00310003" w:rsidRDefault="00033695" w:rsidP="008E6DFB">
      <w:pPr>
        <w:keepNext/>
        <w:spacing w:before="240" w:after="120" w:line="240" w:lineRule="auto"/>
        <w:jc w:val="center"/>
      </w:pPr>
      <w:r>
        <w:rPr>
          <w:noProof/>
        </w:rPr>
        <w:drawing>
          <wp:inline distT="0" distB="0" distL="0" distR="0" wp14:anchorId="539AEE20" wp14:editId="79AE1B16">
            <wp:extent cx="3808675" cy="282826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a:extLst>
                        <a:ext uri="{28A0092B-C50C-407E-A947-70E740481C1C}">
                          <a14:useLocalDpi xmlns:a14="http://schemas.microsoft.com/office/drawing/2010/main" val="0"/>
                        </a:ext>
                      </a:extLst>
                    </a:blip>
                    <a:srcRect t="6091"/>
                    <a:stretch/>
                  </pic:blipFill>
                  <pic:spPr bwMode="auto">
                    <a:xfrm>
                      <a:off x="0" y="0"/>
                      <a:ext cx="3819048" cy="2835963"/>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i w:val="0"/>
          <w:color w:val="auto"/>
          <w:sz w:val="20"/>
        </w:rPr>
        <w:sectPr w:rsidR="00B65931" w:rsidRPr="00310003" w:rsidSect="00B65931">
          <w:type w:val="continuous"/>
          <w:pgSz w:w="12240" w:h="15840"/>
          <w:pgMar w:top="1134" w:right="1134" w:bottom="1134" w:left="1701" w:header="720" w:footer="720" w:gutter="0"/>
          <w:cols w:space="720"/>
          <w:docGrid w:linePitch="360"/>
        </w:sectPr>
      </w:pPr>
      <w:bookmarkStart w:id="9" w:name="_Toc162191061"/>
      <w:r w:rsidRPr="00310003">
        <w:rPr>
          <w:b/>
          <w:i w:val="0"/>
          <w:color w:val="auto"/>
          <w:sz w:val="20"/>
        </w:rPr>
        <w:t xml:space="preserve">Figure </w:t>
      </w:r>
      <w:r w:rsidRPr="00310003">
        <w:rPr>
          <w:b/>
          <w:i w:val="0"/>
          <w:color w:val="auto"/>
          <w:sz w:val="20"/>
        </w:rPr>
        <w:fldChar w:fldCharType="begin"/>
      </w:r>
      <w:r w:rsidRPr="00310003">
        <w:rPr>
          <w:b/>
          <w:i w:val="0"/>
          <w:color w:val="auto"/>
          <w:sz w:val="20"/>
        </w:rPr>
        <w:instrText xml:space="preserve"> SEQ Figure \* ARABIC </w:instrText>
      </w:r>
      <w:r w:rsidRPr="00310003">
        <w:rPr>
          <w:b/>
          <w:i w:val="0"/>
          <w:color w:val="auto"/>
          <w:sz w:val="20"/>
        </w:rPr>
        <w:fldChar w:fldCharType="separate"/>
      </w:r>
      <w:r w:rsidR="00030CDC">
        <w:rPr>
          <w:b/>
          <w:i w:val="0"/>
          <w:noProof/>
          <w:color w:val="auto"/>
          <w:sz w:val="20"/>
        </w:rPr>
        <w:t>7</w:t>
      </w:r>
      <w:r w:rsidRPr="00310003">
        <w:rPr>
          <w:b/>
          <w:i w:val="0"/>
          <w:color w:val="auto"/>
          <w:sz w:val="20"/>
        </w:rPr>
        <w:fldChar w:fldCharType="end"/>
      </w:r>
      <w:r w:rsidR="000A32A5" w:rsidRPr="00310003">
        <w:rPr>
          <w:b/>
          <w:i w:val="0"/>
          <w:color w:val="auto"/>
          <w:sz w:val="20"/>
        </w:rPr>
        <w:t>.</w:t>
      </w:r>
      <w:r w:rsidRPr="00310003">
        <w:rPr>
          <w:i w:val="0"/>
          <w:color w:val="auto"/>
          <w:sz w:val="20"/>
        </w:rPr>
        <w:t xml:space="preserve"> </w:t>
      </w:r>
      <w:bookmarkEnd w:id="9"/>
      <w:r w:rsidR="00033695" w:rsidRPr="00033695">
        <w:rPr>
          <w:i w:val="0"/>
          <w:color w:val="auto"/>
          <w:sz w:val="20"/>
        </w:rPr>
        <w:t>Students’ Perceptions of Effective Self-study Solutions</w:t>
      </w:r>
      <w:r w:rsidR="000A32A5" w:rsidRPr="00310003">
        <w:rPr>
          <w:i w:val="0"/>
          <w:color w:val="auto"/>
          <w:sz w:val="20"/>
        </w:rPr>
        <w:t>.</w:t>
      </w:r>
    </w:p>
    <w:p w:rsidR="00540990" w:rsidRPr="00310003" w:rsidRDefault="00033695" w:rsidP="00033695">
      <w:pPr>
        <w:spacing w:before="120" w:after="120" w:line="240" w:lineRule="auto"/>
        <w:ind w:firstLine="570"/>
        <w:jc w:val="both"/>
        <w:rPr>
          <w:rFonts w:eastAsia="Times New Roman" w:cs="Times New Roman"/>
          <w:sz w:val="22"/>
          <w:szCs w:val="24"/>
        </w:rPr>
      </w:pPr>
      <w:r w:rsidRPr="00033695">
        <w:rPr>
          <w:rFonts w:eastAsia="Times New Roman" w:cs="Times New Roman"/>
          <w:sz w:val="22"/>
          <w:szCs w:val="24"/>
        </w:rPr>
        <w:lastRenderedPageBreak/>
        <w:t xml:space="preserve">According to the data in Figure 4.7, students identify a variety of self-study methods to improve their listening skills, with a clear preference for intensive and interactive approaches. Specifically, 34.3% of respondents (24 students) believe that Dictation is the most effective solution, highlighting a need for precision in auditory decoding. This is followed by 28.6% who favor joining English clubs to enhance their listening-speaking reflexes, suggesting a desire for authentic communication </w:t>
      </w:r>
      <w:r w:rsidRPr="00033695">
        <w:rPr>
          <w:rFonts w:eastAsia="Times New Roman" w:cs="Times New Roman"/>
          <w:sz w:val="22"/>
          <w:szCs w:val="24"/>
        </w:rPr>
        <w:lastRenderedPageBreak/>
        <w:t>environments. Meanwhile, 25.7% of participants prefer watching movies or listening to music without subtitles as a way to expose themselves to natural language flow. In contrast, only 11.4% of freshmen find practicing with standardized test materials (like IELTS or TOEFL) to be the most effective, indicating that at this early stage, students are more focused on foundational skills and entertainment-based learning rather than examination-oriented practice</w:t>
      </w:r>
      <w:r w:rsidR="00150C0C"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F35A47" w:rsidRPr="00310003" w:rsidRDefault="00F35A47" w:rsidP="00D60652">
      <w:pPr>
        <w:spacing w:before="120" w:after="120" w:line="240" w:lineRule="auto"/>
        <w:jc w:val="both"/>
        <w:rPr>
          <w:rFonts w:eastAsia="Times New Roman" w:cs="Times New Roman"/>
          <w:b/>
          <w:sz w:val="22"/>
          <w:szCs w:val="24"/>
        </w:rPr>
        <w:sectPr w:rsidR="00F35A47" w:rsidRPr="00310003" w:rsidSect="00F35A47">
          <w:type w:val="continuous"/>
          <w:pgSz w:w="12240" w:h="15840"/>
          <w:pgMar w:top="1134" w:right="1134" w:bottom="1134" w:left="1701" w:header="720" w:footer="720" w:gutter="0"/>
          <w:cols w:num="2" w:space="720"/>
          <w:docGrid w:linePitch="360"/>
        </w:sectPr>
      </w:pPr>
    </w:p>
    <w:p w:rsidR="00D60652" w:rsidRPr="00310003" w:rsidRDefault="00540990"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w:t>
      </w:r>
      <w:r w:rsidR="000A32A5" w:rsidRPr="00310003">
        <w:rPr>
          <w:rFonts w:eastAsia="Times New Roman" w:cs="Times New Roman"/>
          <w:b/>
          <w:sz w:val="22"/>
          <w:szCs w:val="24"/>
        </w:rPr>
        <w:t>.</w:t>
      </w:r>
      <w:r w:rsidRPr="00310003">
        <w:rPr>
          <w:rFonts w:eastAsia="Times New Roman" w:cs="Times New Roman"/>
          <w:b/>
          <w:sz w:val="22"/>
          <w:szCs w:val="24"/>
        </w:rPr>
        <w:t xml:space="preserve"> Discussion</w:t>
      </w:r>
    </w:p>
    <w:p w:rsidR="00CF0247" w:rsidRPr="00310003" w:rsidRDefault="00CF0247" w:rsidP="00D60652">
      <w:pPr>
        <w:spacing w:before="120" w:after="120" w:line="240" w:lineRule="auto"/>
        <w:jc w:val="both"/>
        <w:rPr>
          <w:rFonts w:eastAsia="Times New Roman" w:cs="Times New Roman"/>
          <w:i/>
          <w:sz w:val="22"/>
          <w:szCs w:val="24"/>
        </w:rPr>
        <w:sectPr w:rsidR="00CF0247" w:rsidRPr="00310003" w:rsidSect="00CF0247">
          <w:type w:val="continuous"/>
          <w:pgSz w:w="12240" w:h="15840"/>
          <w:pgMar w:top="1134" w:right="1134" w:bottom="1134" w:left="1701" w:header="720" w:footer="720" w:gutter="0"/>
          <w:cols w:space="720"/>
          <w:docGrid w:linePitch="360"/>
        </w:sectPr>
      </w:pPr>
    </w:p>
    <w:p w:rsidR="00D60652" w:rsidRPr="00310003" w:rsidRDefault="00F14040" w:rsidP="00B34B10">
      <w:pPr>
        <w:spacing w:before="120" w:after="120" w:line="240" w:lineRule="auto"/>
        <w:ind w:firstLine="570"/>
        <w:jc w:val="both"/>
        <w:rPr>
          <w:rFonts w:eastAsia="Times New Roman" w:cs="Times New Roman"/>
          <w:sz w:val="22"/>
          <w:szCs w:val="24"/>
        </w:rPr>
      </w:pPr>
      <w:r w:rsidRPr="00F14040">
        <w:rPr>
          <w:rFonts w:eastAsia="Times New Roman" w:cs="Times New Roman"/>
          <w:sz w:val="22"/>
        </w:rPr>
        <w:lastRenderedPageBreak/>
        <w:t>The research findings present a comprehensive picture of the listening challenges faced by first-year English majors at Quy Nhon University. The data indicates a significant "pedagogical gap" between high school and university levels, primarily driven by the transition from slow, artificial audio to natural native speech. Among the internal factors, vocabulary deficiency and the inefficient habit of mental translation emerged as the most formidable barriers, directly leading to cognitive overload and high levels of listening anxiety. Furthermore, external pressures such as rapid speech rates and complex note-taking tasks exacerbate these difficulties, leaving many students feeling underprepared. Despite these hurdles, students demonstrate a clear awareness of their needs, prioritizing explicit strategy instruction from lecturers and favoring intensive self-study methods like dictation to bridge the proficiency gap. Ultimately, the study highlights that improving listening comprehension requires a dual approach: mitigating psychological stress and transitioning students from word-for-word translation to more global, strategy-based processing</w:t>
      </w:r>
      <w:r w:rsidRPr="00F14040">
        <w:rPr>
          <w:rFonts w:eastAsia="Times New Roman" w:cs="Times New Roman"/>
          <w:color w:val="0D0D0D"/>
          <w:sz w:val="22"/>
        </w:rPr>
        <w:t>.</w:t>
      </w:r>
    </w:p>
    <w:p w:rsidR="00D60652" w:rsidRPr="00310003" w:rsidRDefault="00D60652"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t>5. CONCLUSION</w:t>
      </w:r>
    </w:p>
    <w:p w:rsidR="00F14040" w:rsidRPr="00F14040" w:rsidRDefault="00F14040" w:rsidP="00F14040">
      <w:pPr>
        <w:spacing w:before="120" w:after="120" w:line="240" w:lineRule="auto"/>
        <w:ind w:firstLine="567"/>
        <w:jc w:val="both"/>
        <w:rPr>
          <w:rFonts w:eastAsia="Times New Roman" w:cs="Times New Roman"/>
          <w:sz w:val="22"/>
          <w:szCs w:val="24"/>
        </w:rPr>
      </w:pPr>
      <w:r w:rsidRPr="00F14040">
        <w:rPr>
          <w:rFonts w:eastAsia="Times New Roman" w:cs="Times New Roman"/>
          <w:sz w:val="22"/>
          <w:szCs w:val="24"/>
        </w:rPr>
        <w:t>The primary objective of this study was to identify the common listening difficulties faced by first-year English majors at Quy Nhon University and the factors contributing to these challenges. Based on the data analysis in Chapter 4, the major findings can be summarized as follows:</w:t>
      </w:r>
    </w:p>
    <w:p w:rsidR="00F14040" w:rsidRPr="00F14040" w:rsidRDefault="00F14040" w:rsidP="00F14040">
      <w:pPr>
        <w:spacing w:before="120" w:after="120" w:line="240" w:lineRule="auto"/>
        <w:ind w:firstLine="567"/>
        <w:jc w:val="both"/>
        <w:rPr>
          <w:rFonts w:eastAsia="Times New Roman" w:cs="Times New Roman"/>
          <w:sz w:val="22"/>
          <w:szCs w:val="24"/>
        </w:rPr>
      </w:pPr>
      <w:r w:rsidRPr="00F14040">
        <w:rPr>
          <w:rFonts w:eastAsia="Times New Roman" w:cs="Times New Roman"/>
          <w:sz w:val="22"/>
          <w:szCs w:val="24"/>
        </w:rPr>
        <w:t xml:space="preserve">Firstly, regarding the common listening difficulties, a vast majority of freshmen experience significant "academic shock" during their transition to university. The most prominent </w:t>
      </w:r>
      <w:r w:rsidRPr="00F14040">
        <w:rPr>
          <w:rFonts w:eastAsia="Times New Roman" w:cs="Times New Roman"/>
          <w:sz w:val="22"/>
          <w:szCs w:val="24"/>
        </w:rPr>
        <w:lastRenderedPageBreak/>
        <w:t>hurdles include the inability to keep up with the natural speech rate of native speakers and the complexity of academic tasks such as note-taking. Specifically, over 87% of participants struggled with the speed of delivery, and 80% found university-level assignments far more demanding than the simple multiple-choice formats used in high school.</w:t>
      </w:r>
    </w:p>
    <w:p w:rsidR="00F14040" w:rsidRPr="00F14040" w:rsidRDefault="00F14040" w:rsidP="00F14040">
      <w:pPr>
        <w:spacing w:before="120" w:after="120" w:line="240" w:lineRule="auto"/>
        <w:ind w:firstLine="567"/>
        <w:jc w:val="both"/>
        <w:rPr>
          <w:rFonts w:eastAsia="Times New Roman" w:cs="Times New Roman"/>
          <w:sz w:val="22"/>
          <w:szCs w:val="24"/>
        </w:rPr>
      </w:pPr>
      <w:r w:rsidRPr="00F14040">
        <w:rPr>
          <w:rFonts w:eastAsia="Times New Roman" w:cs="Times New Roman"/>
          <w:sz w:val="22"/>
          <w:szCs w:val="24"/>
        </w:rPr>
        <w:t>Secondly, concerning the factors causing these difficulties, the study categorized them into three main groups:</w:t>
      </w:r>
    </w:p>
    <w:p w:rsidR="00F14040" w:rsidRPr="00F14040" w:rsidRDefault="00F14040" w:rsidP="00F14040">
      <w:pPr>
        <w:spacing w:before="120" w:after="120" w:line="240" w:lineRule="auto"/>
        <w:ind w:firstLine="567"/>
        <w:jc w:val="both"/>
        <w:rPr>
          <w:rFonts w:eastAsia="Times New Roman" w:cs="Times New Roman"/>
          <w:sz w:val="22"/>
          <w:szCs w:val="24"/>
        </w:rPr>
      </w:pPr>
      <w:r w:rsidRPr="00F14040">
        <w:rPr>
          <w:rFonts w:eastAsia="Times New Roman" w:cs="Times New Roman"/>
          <w:sz w:val="22"/>
          <w:szCs w:val="24"/>
        </w:rPr>
        <w:t>Listener-related factors: Vocabulary deficiency (85.7%) and the habit of mental translation (78.6%) are the most significant internal barriers. These factors lead to a "cognitive lag" and high levels of listening anxiety (68.6%).</w:t>
      </w:r>
    </w:p>
    <w:p w:rsidR="00F14040" w:rsidRPr="00F14040" w:rsidRDefault="00F14040" w:rsidP="00F14040">
      <w:pPr>
        <w:spacing w:before="120" w:after="120" w:line="240" w:lineRule="auto"/>
        <w:ind w:firstLine="567"/>
        <w:jc w:val="both"/>
        <w:rPr>
          <w:rFonts w:eastAsia="Times New Roman" w:cs="Times New Roman"/>
          <w:sz w:val="22"/>
          <w:szCs w:val="24"/>
        </w:rPr>
      </w:pPr>
      <w:r w:rsidRPr="00F14040">
        <w:rPr>
          <w:rFonts w:eastAsia="Times New Roman" w:cs="Times New Roman"/>
          <w:sz w:val="22"/>
          <w:szCs w:val="24"/>
        </w:rPr>
        <w:t>Speaker-related factors: Besides rapid speech rates, the lack of sufficient pauses between ideas (80%) and unfamiliarity with diverse local accents (71.4%) frequently cause comprehension breakdown.</w:t>
      </w:r>
    </w:p>
    <w:p w:rsidR="00F14040" w:rsidRPr="00F14040" w:rsidRDefault="00F14040" w:rsidP="00F14040">
      <w:pPr>
        <w:spacing w:before="120" w:after="120" w:line="240" w:lineRule="auto"/>
        <w:ind w:firstLine="567"/>
        <w:jc w:val="both"/>
        <w:rPr>
          <w:rFonts w:eastAsia="Times New Roman" w:cs="Times New Roman"/>
          <w:sz w:val="22"/>
          <w:szCs w:val="24"/>
        </w:rPr>
      </w:pPr>
      <w:r w:rsidRPr="00F14040">
        <w:rPr>
          <w:rFonts w:eastAsia="Times New Roman" w:cs="Times New Roman"/>
          <w:sz w:val="22"/>
          <w:szCs w:val="24"/>
        </w:rPr>
        <w:t>Environmental and Task-related factors: External noise and poor sound quality affect a large proportion of students, while the inherent difficulty of the listening materials themselves creates a "double burden" on their processing capacity.</w:t>
      </w:r>
    </w:p>
    <w:p w:rsidR="00367958" w:rsidRDefault="00F14040" w:rsidP="00F14040">
      <w:pPr>
        <w:spacing w:before="120" w:after="120" w:line="240" w:lineRule="auto"/>
        <w:ind w:firstLine="567"/>
        <w:jc w:val="both"/>
        <w:rPr>
          <w:rFonts w:eastAsia="Times New Roman" w:cs="Times New Roman"/>
          <w:sz w:val="22"/>
          <w:szCs w:val="24"/>
        </w:rPr>
      </w:pPr>
      <w:r w:rsidRPr="00F14040">
        <w:rPr>
          <w:rFonts w:eastAsia="Times New Roman" w:cs="Times New Roman"/>
          <w:sz w:val="22"/>
          <w:szCs w:val="24"/>
        </w:rPr>
        <w:t xml:space="preserve">Finally, regarding students' strategies and expectations, while many students currently spend less than 30 minutes a day on self-practice, they show a strong desire for pedagogical improvement. 35.7% of students expect more explicit instruction on listening strategies (like note-taking and predicting) from their lecturers. For self-study, Dictation (34.3%) and joining English clubs (28.6%) are perceived as the most </w:t>
      </w:r>
      <w:r w:rsidRPr="00F14040">
        <w:rPr>
          <w:rFonts w:eastAsia="Times New Roman" w:cs="Times New Roman"/>
          <w:sz w:val="22"/>
          <w:szCs w:val="24"/>
        </w:rPr>
        <w:lastRenderedPageBreak/>
        <w:t xml:space="preserve">effective solutions to enhance their </w:t>
      </w:r>
      <w:r>
        <w:rPr>
          <w:rFonts w:eastAsia="Times New Roman" w:cs="Times New Roman"/>
          <w:sz w:val="22"/>
          <w:szCs w:val="24"/>
        </w:rPr>
        <w:t>listening reflexes and accuracy</w:t>
      </w:r>
      <w:r w:rsidR="00F34365" w:rsidRPr="00310003">
        <w:rPr>
          <w:rFonts w:eastAsia="Times New Roman" w:cs="Times New Roman"/>
          <w:sz w:val="22"/>
          <w:szCs w:val="24"/>
        </w:rPr>
        <w:t>.</w:t>
      </w:r>
    </w:p>
    <w:p w:rsidR="008D198C" w:rsidRDefault="008D198C" w:rsidP="008D198C">
      <w:pPr>
        <w:tabs>
          <w:tab w:val="left" w:pos="360"/>
          <w:tab w:val="right" w:leader="hyphen" w:pos="9072"/>
        </w:tabs>
        <w:spacing w:before="120" w:after="120"/>
        <w:jc w:val="both"/>
        <w:rPr>
          <w:b/>
          <w:bCs/>
          <w:iCs/>
          <w:sz w:val="22"/>
        </w:rPr>
      </w:pPr>
      <w:r>
        <w:rPr>
          <w:b/>
          <w:bCs/>
          <w:iCs/>
          <w:sz w:val="22"/>
        </w:rPr>
        <w:t>Conflict of interest</w:t>
      </w:r>
    </w:p>
    <w:p w:rsidR="008D198C" w:rsidRDefault="008D198C" w:rsidP="008D198C">
      <w:pPr>
        <w:rPr>
          <w:szCs w:val="24"/>
        </w:rPr>
      </w:pPr>
      <w:r>
        <w:rPr>
          <w:i/>
          <w:iCs/>
          <w:sz w:val="22"/>
        </w:rPr>
        <w:tab/>
        <w:t>The author(s) declare no competing interests.</w:t>
      </w:r>
    </w:p>
    <w:p w:rsidR="00F4684D" w:rsidRPr="00310003" w:rsidRDefault="00F4684D" w:rsidP="00F309E7">
      <w:pPr>
        <w:spacing w:before="120" w:after="120" w:line="240" w:lineRule="auto"/>
        <w:ind w:firstLine="567"/>
        <w:jc w:val="both"/>
        <w:rPr>
          <w:rFonts w:eastAsia="Times New Roman" w:cs="Times New Roman"/>
          <w:sz w:val="22"/>
          <w:szCs w:val="24"/>
        </w:rPr>
      </w:pPr>
    </w:p>
    <w:p w:rsidR="00924F9A" w:rsidRPr="00310003" w:rsidRDefault="00D60652" w:rsidP="00F4684D">
      <w:pPr>
        <w:spacing w:before="120" w:after="120" w:line="240" w:lineRule="auto"/>
        <w:jc w:val="both"/>
        <w:rPr>
          <w:rFonts w:eastAsia="Times New Roman" w:cs="Times New Roman"/>
          <w:b/>
          <w:bCs/>
          <w:sz w:val="22"/>
        </w:rPr>
      </w:pPr>
      <w:r w:rsidRPr="00310003">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310003" w:rsidTr="002E3131">
        <w:trPr>
          <w:tblCellSpacing w:w="15" w:type="dxa"/>
        </w:trPr>
        <w:tc>
          <w:tcPr>
            <w:tcW w:w="0" w:type="auto"/>
            <w:hideMark/>
          </w:tcPr>
          <w:p w:rsidR="0089219A" w:rsidRPr="00FE7C17" w:rsidRDefault="00FE7C17" w:rsidP="00F4684D">
            <w:pPr>
              <w:jc w:val="both"/>
            </w:pPr>
            <w:r>
              <w:rPr>
                <w:sz w:val="20"/>
                <w:szCs w:val="20"/>
              </w:rPr>
              <w:t xml:space="preserve">[1] </w:t>
            </w:r>
            <w:r w:rsidR="005E5647" w:rsidRPr="005E5647">
              <w:rPr>
                <w:rFonts w:eastAsia="Calibri" w:cs="Times New Roman"/>
                <w:noProof/>
                <w:sz w:val="20"/>
                <w:szCs w:val="20"/>
              </w:rPr>
              <w:t xml:space="preserve">K. Hyland, </w:t>
            </w:r>
            <w:r w:rsidR="005E5647" w:rsidRPr="005E5647">
              <w:rPr>
                <w:rFonts w:eastAsia="Calibri" w:cs="Times New Roman"/>
                <w:i/>
                <w:iCs/>
                <w:noProof/>
                <w:sz w:val="20"/>
                <w:szCs w:val="20"/>
              </w:rPr>
              <w:t>Second Language Writing</w:t>
            </w:r>
            <w:r w:rsidR="005E5647" w:rsidRPr="005E5647">
              <w:rPr>
                <w:rFonts w:eastAsia="Calibri" w:cs="Times New Roman"/>
                <w:noProof/>
                <w:sz w:val="20"/>
                <w:szCs w:val="20"/>
              </w:rPr>
              <w:t>, 2nd edition. Cambridge: C</w:t>
            </w:r>
            <w:r w:rsidR="005E5647">
              <w:rPr>
                <w:rFonts w:eastAsia="Calibri" w:cs="Times New Roman"/>
                <w:noProof/>
                <w:sz w:val="20"/>
                <w:szCs w:val="20"/>
              </w:rPr>
              <w:t>ambridge University Press, 2019</w:t>
            </w:r>
            <w:r w:rsidR="00BF6A35" w:rsidRPr="00BF6A35">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5E5647">
              <w:rPr>
                <w:sz w:val="20"/>
                <w:szCs w:val="20"/>
                <w:lang w:val="vi-VN"/>
              </w:rPr>
              <w:t xml:space="preserve">2] </w:t>
            </w:r>
            <w:r w:rsidR="005E5647" w:rsidRPr="005E5647">
              <w:rPr>
                <w:sz w:val="20"/>
                <w:szCs w:val="20"/>
              </w:rPr>
              <w:t xml:space="preserve">D. Crystal, </w:t>
            </w:r>
            <w:r w:rsidR="005E5647" w:rsidRPr="005E5647">
              <w:rPr>
                <w:i/>
                <w:iCs/>
                <w:sz w:val="20"/>
                <w:szCs w:val="20"/>
              </w:rPr>
              <w:t>English as a Global Language</w:t>
            </w:r>
            <w:r w:rsidR="005E5647" w:rsidRPr="005E5647">
              <w:rPr>
                <w:sz w:val="20"/>
                <w:szCs w:val="20"/>
              </w:rPr>
              <w:t>, 2nd edition. Cambridge: Cambridge University Press, 2012</w:t>
            </w:r>
            <w:r w:rsidR="00BA1888" w:rsidRPr="00BA1888">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5E5647">
              <w:rPr>
                <w:sz w:val="20"/>
                <w:szCs w:val="20"/>
                <w:lang w:val="vi-VN"/>
              </w:rPr>
              <w:t xml:space="preserve">3] </w:t>
            </w:r>
            <w:r w:rsidR="005E5647" w:rsidRPr="005E5647">
              <w:rPr>
                <w:sz w:val="20"/>
                <w:szCs w:val="20"/>
              </w:rPr>
              <w:t xml:space="preserve">J. Harmer, </w:t>
            </w:r>
            <w:r w:rsidR="005E5647" w:rsidRPr="005E5647">
              <w:rPr>
                <w:i/>
                <w:iCs/>
                <w:sz w:val="20"/>
                <w:szCs w:val="20"/>
              </w:rPr>
              <w:t>The Practice of English Language Teaching</w:t>
            </w:r>
            <w:r w:rsidR="005E5647" w:rsidRPr="005E5647">
              <w:rPr>
                <w:sz w:val="20"/>
                <w:szCs w:val="20"/>
              </w:rPr>
              <w:t>, 5th edition. Harlow: Pearson Education Limited, 2015</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Pr>
                <w:sz w:val="20"/>
                <w:szCs w:val="20"/>
                <w:lang w:val="vi-VN"/>
              </w:rPr>
              <w:t>4</w:t>
            </w:r>
            <w:r>
              <w:rPr>
                <w:sz w:val="20"/>
                <w:szCs w:val="20"/>
              </w:rPr>
              <w:t xml:space="preserve">] </w:t>
            </w:r>
            <w:r w:rsidR="005E5647" w:rsidRPr="005E5647">
              <w:rPr>
                <w:rFonts w:eastAsia="Calibri" w:cs="Times New Roman"/>
                <w:noProof/>
                <w:sz w:val="20"/>
                <w:szCs w:val="20"/>
              </w:rPr>
              <w:t xml:space="preserve">D. Little, </w:t>
            </w:r>
            <w:r w:rsidR="005E5647" w:rsidRPr="005E5647">
              <w:rPr>
                <w:rFonts w:eastAsia="Calibri" w:cs="Times New Roman"/>
                <w:i/>
                <w:iCs/>
                <w:noProof/>
                <w:sz w:val="20"/>
                <w:szCs w:val="20"/>
              </w:rPr>
              <w:t>Learner Autonomy 1: Definitions, Issues and Problems</w:t>
            </w:r>
            <w:r w:rsidR="005E5647" w:rsidRPr="005E5647">
              <w:rPr>
                <w:rFonts w:eastAsia="Calibri" w:cs="Times New Roman"/>
                <w:noProof/>
                <w:sz w:val="20"/>
                <w:szCs w:val="20"/>
              </w:rPr>
              <w:t>. Dublin: Authentik, 1991</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Pr>
                <w:sz w:val="20"/>
                <w:szCs w:val="20"/>
                <w:lang w:val="vi-VN"/>
              </w:rPr>
              <w:t>5</w:t>
            </w:r>
            <w:r>
              <w:rPr>
                <w:sz w:val="20"/>
                <w:szCs w:val="20"/>
              </w:rPr>
              <w:t xml:space="preserve">] </w:t>
            </w:r>
            <w:r w:rsidR="005E5647" w:rsidRPr="005E5647">
              <w:rPr>
                <w:rFonts w:eastAsia="Calibri" w:cs="Times New Roman"/>
                <w:noProof/>
                <w:sz w:val="20"/>
                <w:szCs w:val="20"/>
              </w:rPr>
              <w:t xml:space="preserve">Z. Dörnyei, </w:t>
            </w:r>
            <w:r w:rsidR="005E5647" w:rsidRPr="005E5647">
              <w:rPr>
                <w:rFonts w:eastAsia="Calibri" w:cs="Times New Roman"/>
                <w:i/>
                <w:iCs/>
                <w:noProof/>
                <w:sz w:val="20"/>
                <w:szCs w:val="20"/>
              </w:rPr>
              <w:t>Motivational Strategies in the Language Classroom</w:t>
            </w:r>
            <w:r w:rsidR="005E5647" w:rsidRPr="005E5647">
              <w:rPr>
                <w:rFonts w:eastAsia="Calibri" w:cs="Times New Roman"/>
                <w:noProof/>
                <w:sz w:val="20"/>
                <w:szCs w:val="20"/>
              </w:rPr>
              <w:t>. Cambridge: Cambridge University Press, 2001</w:t>
            </w:r>
            <w:r w:rsidR="0089219A" w:rsidRPr="00310003">
              <w:rPr>
                <w:rFonts w:eastAsia="Calibri" w:cs="Times New Roman"/>
                <w:noProof/>
                <w:sz w:val="20"/>
                <w:szCs w:val="20"/>
              </w:rPr>
              <w:t>.</w:t>
            </w:r>
          </w:p>
        </w:tc>
      </w:tr>
      <w:tr w:rsidR="002B67B8" w:rsidRPr="002B67B8" w:rsidTr="002E3131">
        <w:trPr>
          <w:tblCellSpacing w:w="15" w:type="dxa"/>
        </w:trPr>
        <w:tc>
          <w:tcPr>
            <w:tcW w:w="0" w:type="auto"/>
            <w:hideMark/>
          </w:tcPr>
          <w:p w:rsidR="0089219A" w:rsidRPr="002B67B8" w:rsidRDefault="00FE7C17" w:rsidP="00F4684D">
            <w:pPr>
              <w:jc w:val="both"/>
            </w:pPr>
            <w:r w:rsidRPr="002B67B8">
              <w:rPr>
                <w:sz w:val="20"/>
                <w:szCs w:val="20"/>
              </w:rPr>
              <w:t>[</w:t>
            </w:r>
            <w:r w:rsidR="002A55CE" w:rsidRPr="002B67B8">
              <w:rPr>
                <w:sz w:val="20"/>
                <w:szCs w:val="20"/>
                <w:lang w:val="vi-VN"/>
              </w:rPr>
              <w:t>6</w:t>
            </w:r>
            <w:r w:rsidRPr="002B67B8">
              <w:rPr>
                <w:sz w:val="20"/>
                <w:szCs w:val="20"/>
              </w:rPr>
              <w:t xml:space="preserve">] </w:t>
            </w:r>
            <w:r w:rsidR="002B67B8" w:rsidRPr="002B67B8">
              <w:rPr>
                <w:rFonts w:eastAsia="Calibri" w:cs="Times New Roman"/>
                <w:noProof/>
                <w:sz w:val="20"/>
                <w:szCs w:val="20"/>
              </w:rPr>
              <w:t xml:space="preserve">R. L. Oxford, “Progress in tertiary language learning: A study of student attitudes and activities,” </w:t>
            </w:r>
            <w:r w:rsidR="002B67B8" w:rsidRPr="002B67B8">
              <w:rPr>
                <w:rFonts w:eastAsia="Calibri" w:cs="Times New Roman"/>
                <w:i/>
                <w:iCs/>
                <w:noProof/>
                <w:sz w:val="20"/>
                <w:szCs w:val="20"/>
              </w:rPr>
              <w:t>System</w:t>
            </w:r>
            <w:r w:rsidR="002B67B8" w:rsidRPr="002B67B8">
              <w:rPr>
                <w:rFonts w:eastAsia="Calibri" w:cs="Times New Roman"/>
                <w:noProof/>
                <w:sz w:val="20"/>
                <w:szCs w:val="20"/>
              </w:rPr>
              <w:t>, vol. 21, no. 1, Feb., pp. 121-133, 1993</w:t>
            </w:r>
            <w:r w:rsidR="0089219A" w:rsidRPr="002B67B8">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7</w:t>
            </w:r>
            <w:r>
              <w:rPr>
                <w:sz w:val="20"/>
                <w:szCs w:val="20"/>
              </w:rPr>
              <w:t xml:space="preserve">] </w:t>
            </w:r>
            <w:r w:rsidR="002B67B8" w:rsidRPr="002B67B8">
              <w:rPr>
                <w:rFonts w:eastAsia="Calibri" w:cs="Times New Roman"/>
                <w:noProof/>
                <w:sz w:val="20"/>
                <w:szCs w:val="20"/>
              </w:rPr>
              <w:t xml:space="preserve">M. Rost, </w:t>
            </w:r>
            <w:r w:rsidR="002B67B8" w:rsidRPr="002B67B8">
              <w:rPr>
                <w:rFonts w:eastAsia="Calibri" w:cs="Times New Roman"/>
                <w:i/>
                <w:iCs/>
                <w:noProof/>
                <w:sz w:val="20"/>
                <w:szCs w:val="20"/>
              </w:rPr>
              <w:t>Teaching and Researching Listening</w:t>
            </w:r>
            <w:r w:rsidR="002B67B8" w:rsidRPr="002B67B8">
              <w:rPr>
                <w:rFonts w:eastAsia="Calibri" w:cs="Times New Roman"/>
                <w:noProof/>
                <w:sz w:val="20"/>
                <w:szCs w:val="20"/>
              </w:rPr>
              <w:t>, 2nd edition. London: Routledge, 2011</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8</w:t>
            </w:r>
            <w:r>
              <w:rPr>
                <w:sz w:val="20"/>
                <w:szCs w:val="20"/>
              </w:rPr>
              <w:t xml:space="preserve">] </w:t>
            </w:r>
            <w:r w:rsidR="002B67B8" w:rsidRPr="002B67B8">
              <w:rPr>
                <w:rFonts w:eastAsia="Calibri" w:cs="Times New Roman"/>
                <w:noProof/>
                <w:sz w:val="20"/>
                <w:szCs w:val="20"/>
              </w:rPr>
              <w:t xml:space="preserve">L. Vandergrift, “Facilitating second language listening comprehension: Revisiting listening strategies,” </w:t>
            </w:r>
            <w:r w:rsidR="002B67B8" w:rsidRPr="002B67B8">
              <w:rPr>
                <w:rFonts w:eastAsia="Calibri" w:cs="Times New Roman"/>
                <w:i/>
                <w:iCs/>
                <w:noProof/>
                <w:sz w:val="20"/>
                <w:szCs w:val="20"/>
              </w:rPr>
              <w:t>ELT Journal</w:t>
            </w:r>
            <w:r w:rsidR="002B67B8" w:rsidRPr="002B67B8">
              <w:rPr>
                <w:rFonts w:eastAsia="Calibri" w:cs="Times New Roman"/>
                <w:noProof/>
                <w:sz w:val="20"/>
                <w:szCs w:val="20"/>
              </w:rPr>
              <w:t>, vol. 53, no. 3, July, pp. 168-176, 1999</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C87773" w:rsidRPr="00FE7C17" w:rsidRDefault="00FE7C17" w:rsidP="00F4684D">
            <w:pPr>
              <w:jc w:val="both"/>
            </w:pPr>
            <w:r>
              <w:rPr>
                <w:sz w:val="20"/>
                <w:szCs w:val="20"/>
              </w:rPr>
              <w:t>[</w:t>
            </w:r>
            <w:r w:rsidR="002A55CE">
              <w:rPr>
                <w:sz w:val="20"/>
                <w:szCs w:val="20"/>
                <w:lang w:val="vi-VN"/>
              </w:rPr>
              <w:t>9</w:t>
            </w:r>
            <w:r>
              <w:rPr>
                <w:sz w:val="20"/>
                <w:szCs w:val="20"/>
              </w:rPr>
              <w:t xml:space="preserve">] </w:t>
            </w:r>
            <w:r w:rsidR="002B67B8" w:rsidRPr="002B67B8">
              <w:rPr>
                <w:rFonts w:eastAsia="Calibri" w:cs="Times New Roman"/>
                <w:noProof/>
                <w:sz w:val="20"/>
                <w:szCs w:val="20"/>
              </w:rPr>
              <w:t xml:space="preserve">M. Underwood, </w:t>
            </w:r>
            <w:r w:rsidR="002B67B8" w:rsidRPr="002B67B8">
              <w:rPr>
                <w:rFonts w:eastAsia="Calibri" w:cs="Times New Roman"/>
                <w:i/>
                <w:iCs/>
                <w:noProof/>
                <w:sz w:val="20"/>
                <w:szCs w:val="20"/>
              </w:rPr>
              <w:t>Teaching Listening</w:t>
            </w:r>
            <w:r w:rsidR="002B67B8" w:rsidRPr="002B67B8">
              <w:rPr>
                <w:rFonts w:eastAsia="Calibri" w:cs="Times New Roman"/>
                <w:noProof/>
                <w:sz w:val="20"/>
                <w:szCs w:val="20"/>
              </w:rPr>
              <w:t>. New York: Longman, 1989</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10</w:t>
            </w:r>
            <w:r>
              <w:rPr>
                <w:sz w:val="20"/>
                <w:szCs w:val="20"/>
              </w:rPr>
              <w:t xml:space="preserve">] </w:t>
            </w:r>
            <w:r w:rsidR="00FE2B56" w:rsidRPr="00FE2B56">
              <w:rPr>
                <w:rFonts w:eastAsia="Calibri" w:cs="Times New Roman"/>
                <w:noProof/>
                <w:sz w:val="20"/>
                <w:szCs w:val="20"/>
              </w:rPr>
              <w:t xml:space="preserve">L. Vandergrift, “The Cinderella of communication strategies: Reception strategies in interactive listening,” </w:t>
            </w:r>
            <w:r w:rsidR="00FE2B56" w:rsidRPr="00FE2B56">
              <w:rPr>
                <w:rFonts w:eastAsia="Calibri" w:cs="Times New Roman"/>
                <w:i/>
                <w:iCs/>
                <w:noProof/>
                <w:sz w:val="20"/>
                <w:szCs w:val="20"/>
              </w:rPr>
              <w:t>The Modern Language Journal</w:t>
            </w:r>
            <w:r w:rsidR="00FE2B56" w:rsidRPr="00FE2B56">
              <w:rPr>
                <w:rFonts w:eastAsia="Calibri" w:cs="Times New Roman"/>
                <w:noProof/>
                <w:sz w:val="20"/>
                <w:szCs w:val="20"/>
              </w:rPr>
              <w:t>, vol. 81, no. 4, Dec., pp. 494-505, 1997.</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11</w:t>
            </w:r>
            <w:r>
              <w:rPr>
                <w:sz w:val="20"/>
                <w:szCs w:val="20"/>
              </w:rPr>
              <w:t xml:space="preserve">] </w:t>
            </w:r>
            <w:r w:rsidR="00FE2B56" w:rsidRPr="00FE2B56">
              <w:rPr>
                <w:rFonts w:eastAsia="Calibri" w:cs="Times New Roman"/>
                <w:noProof/>
                <w:sz w:val="20"/>
                <w:szCs w:val="20"/>
              </w:rPr>
              <w:t xml:space="preserve">S. D. Krashen, </w:t>
            </w:r>
            <w:r w:rsidR="00FE2B56" w:rsidRPr="00FE2B56">
              <w:rPr>
                <w:rFonts w:eastAsia="Calibri" w:cs="Times New Roman"/>
                <w:i/>
                <w:iCs/>
                <w:noProof/>
                <w:sz w:val="20"/>
                <w:szCs w:val="20"/>
              </w:rPr>
              <w:t>The Input Hypothesis: Issues and Implications</w:t>
            </w:r>
            <w:r w:rsidR="00FE2B56" w:rsidRPr="00FE2B56">
              <w:rPr>
                <w:rFonts w:eastAsia="Calibri" w:cs="Times New Roman"/>
                <w:noProof/>
                <w:sz w:val="20"/>
                <w:szCs w:val="20"/>
              </w:rPr>
              <w:t>. Torrance, CA: Laredo Publishing Company, 1985</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lastRenderedPageBreak/>
              <w:t>[</w:t>
            </w:r>
            <w:r w:rsidR="002A55CE">
              <w:rPr>
                <w:sz w:val="20"/>
                <w:szCs w:val="20"/>
                <w:lang w:val="vi-VN"/>
              </w:rPr>
              <w:t>12</w:t>
            </w:r>
            <w:r>
              <w:rPr>
                <w:sz w:val="20"/>
                <w:szCs w:val="20"/>
              </w:rPr>
              <w:t xml:space="preserve">] </w:t>
            </w:r>
            <w:r w:rsidR="00FE2B56" w:rsidRPr="00FE2B56">
              <w:rPr>
                <w:rFonts w:eastAsia="Calibri" w:cs="Times New Roman"/>
                <w:noProof/>
                <w:sz w:val="20"/>
                <w:szCs w:val="20"/>
              </w:rPr>
              <w:t xml:space="preserve">L. Vandergrift and C. C. M. Goh, </w:t>
            </w:r>
            <w:r w:rsidR="00FE2B56" w:rsidRPr="00FE2B56">
              <w:rPr>
                <w:rFonts w:eastAsia="Calibri" w:cs="Times New Roman"/>
                <w:i/>
                <w:iCs/>
                <w:noProof/>
                <w:sz w:val="20"/>
                <w:szCs w:val="20"/>
              </w:rPr>
              <w:t>Teaching and Learning Second Language Listening: Metacognition in Action</w:t>
            </w:r>
            <w:r w:rsidR="00FE2B56" w:rsidRPr="00FE2B56">
              <w:rPr>
                <w:rFonts w:eastAsia="Calibri" w:cs="Times New Roman"/>
                <w:noProof/>
                <w:sz w:val="20"/>
                <w:szCs w:val="20"/>
              </w:rPr>
              <w:t>. New York: Routledge, 2012</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13</w:t>
            </w:r>
            <w:r>
              <w:rPr>
                <w:sz w:val="20"/>
                <w:szCs w:val="20"/>
              </w:rPr>
              <w:t xml:space="preserve">] </w:t>
            </w:r>
            <w:r w:rsidR="00FE2B56" w:rsidRPr="00FE2B56">
              <w:rPr>
                <w:rFonts w:eastAsia="Calibri" w:cs="Times New Roman"/>
                <w:noProof/>
                <w:sz w:val="20"/>
                <w:szCs w:val="20"/>
              </w:rPr>
              <w:t xml:space="preserve">P. D. MacIntyre, “Willingness to communicate in the second language: Understanding the decision to speak as a volitional process,” </w:t>
            </w:r>
            <w:r w:rsidR="00FE2B56" w:rsidRPr="00FE2B56">
              <w:rPr>
                <w:rFonts w:eastAsia="Calibri" w:cs="Times New Roman"/>
                <w:i/>
                <w:iCs/>
                <w:noProof/>
                <w:sz w:val="20"/>
                <w:szCs w:val="20"/>
              </w:rPr>
              <w:t>The Modern Language Journal</w:t>
            </w:r>
            <w:r w:rsidR="00FE2B56" w:rsidRPr="00FE2B56">
              <w:rPr>
                <w:rFonts w:eastAsia="Calibri" w:cs="Times New Roman"/>
                <w:noProof/>
                <w:sz w:val="20"/>
                <w:szCs w:val="20"/>
              </w:rPr>
              <w:t>, vol. 91, no. 4, Dec., pp. 564-576, 2007</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14</w:t>
            </w:r>
            <w:r>
              <w:rPr>
                <w:sz w:val="20"/>
                <w:szCs w:val="20"/>
              </w:rPr>
              <w:t xml:space="preserve">] </w:t>
            </w:r>
            <w:r w:rsidR="00FE2B56" w:rsidRPr="00FE2B56">
              <w:rPr>
                <w:rFonts w:eastAsia="Calibri" w:cs="Times New Roman"/>
                <w:noProof/>
                <w:sz w:val="20"/>
                <w:szCs w:val="20"/>
              </w:rPr>
              <w:t xml:space="preserve">J. Flowerdew and L. Miller, </w:t>
            </w:r>
            <w:r w:rsidR="00FE2B56" w:rsidRPr="00FE2B56">
              <w:rPr>
                <w:rFonts w:eastAsia="Calibri" w:cs="Times New Roman"/>
                <w:i/>
                <w:iCs/>
                <w:noProof/>
                <w:sz w:val="20"/>
                <w:szCs w:val="20"/>
              </w:rPr>
              <w:t>Second Language Listening: Theory and Practice</w:t>
            </w:r>
            <w:r w:rsidR="00FE2B56" w:rsidRPr="00FE2B56">
              <w:rPr>
                <w:rFonts w:eastAsia="Calibri" w:cs="Times New Roman"/>
                <w:noProof/>
                <w:sz w:val="20"/>
                <w:szCs w:val="20"/>
              </w:rPr>
              <w:t>. New York: Cambridge University Press, 2005</w:t>
            </w:r>
            <w:r w:rsidR="0089219A" w:rsidRPr="000362D0">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15</w:t>
            </w:r>
            <w:r>
              <w:rPr>
                <w:sz w:val="20"/>
                <w:szCs w:val="20"/>
              </w:rPr>
              <w:t xml:space="preserve">] </w:t>
            </w:r>
            <w:r w:rsidR="00FE2B56" w:rsidRPr="00FE2B56">
              <w:rPr>
                <w:rFonts w:eastAsia="Calibri" w:cs="Times New Roman"/>
                <w:noProof/>
                <w:sz w:val="20"/>
                <w:szCs w:val="20"/>
              </w:rPr>
              <w:t xml:space="preserve">J. C. Richards, </w:t>
            </w:r>
            <w:r w:rsidR="00FE2B56" w:rsidRPr="00FE2B56">
              <w:rPr>
                <w:rFonts w:eastAsia="Calibri" w:cs="Times New Roman"/>
                <w:i/>
                <w:iCs/>
                <w:noProof/>
                <w:sz w:val="20"/>
                <w:szCs w:val="20"/>
              </w:rPr>
              <w:t>Teaching Listening and Speaking: From Theory to Practice</w:t>
            </w:r>
            <w:r w:rsidR="00FE2B56" w:rsidRPr="00FE2B56">
              <w:rPr>
                <w:rFonts w:eastAsia="Calibri" w:cs="Times New Roman"/>
                <w:noProof/>
                <w:sz w:val="20"/>
                <w:szCs w:val="20"/>
              </w:rPr>
              <w:t>. New York: Cambridge University Press, 2008</w:t>
            </w:r>
            <w:r w:rsidR="0089219A" w:rsidRPr="003E2C7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16</w:t>
            </w:r>
            <w:r>
              <w:rPr>
                <w:sz w:val="20"/>
                <w:szCs w:val="20"/>
              </w:rPr>
              <w:t xml:space="preserve">] </w:t>
            </w:r>
            <w:r w:rsidR="00FE2B56" w:rsidRPr="00FE2B56">
              <w:rPr>
                <w:rFonts w:eastAsia="Calibri" w:cs="Times New Roman"/>
                <w:noProof/>
                <w:sz w:val="20"/>
                <w:szCs w:val="20"/>
              </w:rPr>
              <w:t xml:space="preserve">J. Rubin, “A review of second language listening comprehension research,” </w:t>
            </w:r>
            <w:r w:rsidR="00FE2B56" w:rsidRPr="00FE2B56">
              <w:rPr>
                <w:rFonts w:eastAsia="Calibri" w:cs="Times New Roman"/>
                <w:i/>
                <w:iCs/>
                <w:noProof/>
                <w:sz w:val="20"/>
                <w:szCs w:val="20"/>
              </w:rPr>
              <w:t>The Modern Language Journal</w:t>
            </w:r>
            <w:r w:rsidR="00FE2B56" w:rsidRPr="00FE2B56">
              <w:rPr>
                <w:rFonts w:eastAsia="Calibri" w:cs="Times New Roman"/>
                <w:noProof/>
                <w:sz w:val="20"/>
                <w:szCs w:val="20"/>
              </w:rPr>
              <w:t>, vol. 78, no. 2, June, pp. 199-221, 1994</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17</w:t>
            </w:r>
            <w:r>
              <w:rPr>
                <w:sz w:val="20"/>
                <w:szCs w:val="20"/>
              </w:rPr>
              <w:t xml:space="preserve">] </w:t>
            </w:r>
            <w:r w:rsidR="00FE2B56" w:rsidRPr="00FE2B56">
              <w:rPr>
                <w:rFonts w:eastAsia="Calibri" w:cs="Times New Roman"/>
                <w:noProof/>
                <w:sz w:val="20"/>
                <w:szCs w:val="20"/>
              </w:rPr>
              <w:t xml:space="preserve">J. Field, </w:t>
            </w:r>
            <w:r w:rsidR="00FE2B56" w:rsidRPr="00FE2B56">
              <w:rPr>
                <w:rFonts w:eastAsia="Calibri" w:cs="Times New Roman"/>
                <w:i/>
                <w:iCs/>
                <w:noProof/>
                <w:sz w:val="20"/>
                <w:szCs w:val="20"/>
              </w:rPr>
              <w:t>Listening in the Language Classroom</w:t>
            </w:r>
            <w:r w:rsidR="00FE2B56" w:rsidRPr="00FE2B56">
              <w:rPr>
                <w:rFonts w:eastAsia="Calibri" w:cs="Times New Roman"/>
                <w:noProof/>
                <w:sz w:val="20"/>
                <w:szCs w:val="20"/>
              </w:rPr>
              <w:t>. Cambridge: Cambridge University Press, 2008</w:t>
            </w:r>
            <w:r w:rsidR="0089219A" w:rsidRPr="00F65E8D">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18</w:t>
            </w:r>
            <w:r>
              <w:rPr>
                <w:sz w:val="20"/>
                <w:szCs w:val="20"/>
              </w:rPr>
              <w:t xml:space="preserve">] </w:t>
            </w:r>
            <w:r w:rsidR="00BF51A2" w:rsidRPr="00BF51A2">
              <w:rPr>
                <w:rFonts w:eastAsia="Calibri" w:cs="Times New Roman"/>
                <w:noProof/>
                <w:sz w:val="20"/>
                <w:szCs w:val="20"/>
              </w:rPr>
              <w:t xml:space="preserve">P. Ur, </w:t>
            </w:r>
            <w:r w:rsidR="00BF51A2" w:rsidRPr="00BF51A2">
              <w:rPr>
                <w:rFonts w:eastAsia="Calibri" w:cs="Times New Roman"/>
                <w:i/>
                <w:iCs/>
                <w:noProof/>
                <w:sz w:val="20"/>
                <w:szCs w:val="20"/>
              </w:rPr>
              <w:t>Teaching Listening</w:t>
            </w:r>
            <w:r w:rsidR="00BF51A2" w:rsidRPr="00BF51A2">
              <w:rPr>
                <w:rFonts w:eastAsia="Calibri" w:cs="Times New Roman"/>
                <w:noProof/>
                <w:sz w:val="20"/>
                <w:szCs w:val="20"/>
              </w:rPr>
              <w:t>. Cambridge: Cambridge University Press, 1984</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19</w:t>
            </w:r>
            <w:r>
              <w:rPr>
                <w:sz w:val="20"/>
                <w:szCs w:val="20"/>
              </w:rPr>
              <w:t xml:space="preserve">] </w:t>
            </w:r>
            <w:r w:rsidR="00BF51A2" w:rsidRPr="00BF51A2">
              <w:rPr>
                <w:rFonts w:eastAsia="Calibri" w:cs="Times New Roman"/>
                <w:noProof/>
                <w:sz w:val="20"/>
                <w:szCs w:val="20"/>
              </w:rPr>
              <w:t xml:space="preserve">R. Kelly, “The lexical approach to listening,” </w:t>
            </w:r>
            <w:r w:rsidR="00BF51A2" w:rsidRPr="00BF51A2">
              <w:rPr>
                <w:rFonts w:eastAsia="Calibri" w:cs="Times New Roman"/>
                <w:i/>
                <w:iCs/>
                <w:noProof/>
                <w:sz w:val="20"/>
                <w:szCs w:val="20"/>
              </w:rPr>
              <w:t>ELT Journal</w:t>
            </w:r>
            <w:r w:rsidR="00BF51A2" w:rsidRPr="00BF51A2">
              <w:rPr>
                <w:rFonts w:eastAsia="Calibri" w:cs="Times New Roman"/>
                <w:noProof/>
                <w:sz w:val="20"/>
                <w:szCs w:val="20"/>
              </w:rPr>
              <w:t>, vol. 45, no. 2, Apr., pp. 135-142, 1991</w:t>
            </w:r>
            <w:r w:rsidR="0089219A" w:rsidRPr="00161372">
              <w:rPr>
                <w:rFonts w:eastAsia="Calibri" w:cs="Times New Roman"/>
                <w:noProof/>
                <w:sz w:val="20"/>
                <w:szCs w:val="20"/>
              </w:rPr>
              <w:t>.</w:t>
            </w:r>
          </w:p>
          <w:p w:rsidR="0089219A" w:rsidRPr="00FE7C17" w:rsidRDefault="00FE7C17" w:rsidP="00F4684D">
            <w:pPr>
              <w:jc w:val="both"/>
            </w:pPr>
            <w:r>
              <w:rPr>
                <w:sz w:val="20"/>
                <w:szCs w:val="20"/>
              </w:rPr>
              <w:t>[</w:t>
            </w:r>
            <w:r w:rsidR="002A55CE">
              <w:rPr>
                <w:sz w:val="20"/>
                <w:szCs w:val="20"/>
                <w:lang w:val="vi-VN"/>
              </w:rPr>
              <w:t>20</w:t>
            </w:r>
            <w:r>
              <w:rPr>
                <w:sz w:val="20"/>
                <w:szCs w:val="20"/>
              </w:rPr>
              <w:t xml:space="preserve">] </w:t>
            </w:r>
            <w:r w:rsidR="00BF51A2" w:rsidRPr="00BF51A2">
              <w:rPr>
                <w:rFonts w:eastAsia="Calibri" w:cs="Times New Roman"/>
                <w:noProof/>
                <w:sz w:val="20"/>
                <w:szCs w:val="20"/>
              </w:rPr>
              <w:t xml:space="preserve">L. S. Stæhr, “Vocabulary size and the skills of listening, reading and writing,” </w:t>
            </w:r>
            <w:r w:rsidR="00BF51A2" w:rsidRPr="00BF51A2">
              <w:rPr>
                <w:rFonts w:eastAsia="Calibri" w:cs="Times New Roman"/>
                <w:i/>
                <w:iCs/>
                <w:noProof/>
                <w:sz w:val="20"/>
                <w:szCs w:val="20"/>
              </w:rPr>
              <w:t>Language Learning Journal</w:t>
            </w:r>
            <w:r w:rsidR="00BF51A2" w:rsidRPr="00BF51A2">
              <w:rPr>
                <w:rFonts w:eastAsia="Calibri" w:cs="Times New Roman"/>
                <w:noProof/>
                <w:sz w:val="20"/>
                <w:szCs w:val="20"/>
              </w:rPr>
              <w:t>, vol. 36, no. 2, Dec., pp. 139-152, 2008</w:t>
            </w:r>
            <w:r w:rsidR="003C46C0" w:rsidRPr="00310003">
              <w:rPr>
                <w:rFonts w:eastAsia="Calibri" w:cs="Times New Roman"/>
                <w:noProof/>
                <w:sz w:val="20"/>
                <w:szCs w:val="20"/>
              </w:rPr>
              <w:t>.</w:t>
            </w:r>
          </w:p>
          <w:p w:rsidR="00DD3788" w:rsidRPr="00FE7C17" w:rsidRDefault="00FE7C17" w:rsidP="00F4684D">
            <w:pPr>
              <w:jc w:val="both"/>
            </w:pPr>
            <w:r>
              <w:rPr>
                <w:sz w:val="20"/>
                <w:szCs w:val="20"/>
              </w:rPr>
              <w:t>[</w:t>
            </w:r>
            <w:r w:rsidR="002A55CE">
              <w:rPr>
                <w:sz w:val="20"/>
                <w:szCs w:val="20"/>
                <w:lang w:val="vi-VN"/>
              </w:rPr>
              <w:t>21</w:t>
            </w:r>
            <w:r>
              <w:rPr>
                <w:sz w:val="20"/>
                <w:szCs w:val="20"/>
              </w:rPr>
              <w:t xml:space="preserve">] </w:t>
            </w:r>
            <w:r w:rsidR="00BF51A2" w:rsidRPr="00BF51A2">
              <w:rPr>
                <w:rFonts w:eastAsia="Calibri" w:cs="Times New Roman"/>
                <w:sz w:val="20"/>
                <w:szCs w:val="20"/>
              </w:rPr>
              <w:t xml:space="preserve">C. C. M. Goh, “A cognitive perspective on language learners' listening comprehension problems,” </w:t>
            </w:r>
            <w:r w:rsidR="00BF51A2" w:rsidRPr="00BF51A2">
              <w:rPr>
                <w:rFonts w:eastAsia="Calibri" w:cs="Times New Roman"/>
                <w:i/>
                <w:iCs/>
                <w:sz w:val="20"/>
                <w:szCs w:val="20"/>
              </w:rPr>
              <w:t>System</w:t>
            </w:r>
            <w:r w:rsidR="00BF51A2" w:rsidRPr="00BF51A2">
              <w:rPr>
                <w:rFonts w:eastAsia="Calibri" w:cs="Times New Roman"/>
                <w:sz w:val="20"/>
                <w:szCs w:val="20"/>
              </w:rPr>
              <w:t>, vol. 28, no. 1, Mar., pp. 55-75, 2000</w:t>
            </w:r>
            <w:r w:rsidR="00DD3788" w:rsidRPr="00310003">
              <w:rPr>
                <w:rFonts w:eastAsia="Calibri" w:cs="Times New Roman"/>
                <w:sz w:val="20"/>
                <w:szCs w:val="20"/>
              </w:rPr>
              <w:t>.</w:t>
            </w:r>
          </w:p>
          <w:p w:rsidR="00DD3788" w:rsidRDefault="00FE7C17" w:rsidP="00F4684D">
            <w:pPr>
              <w:jc w:val="both"/>
              <w:rPr>
                <w:rFonts w:eastAsia="Calibri" w:cs="Times New Roman"/>
                <w:noProof/>
                <w:sz w:val="20"/>
                <w:szCs w:val="20"/>
              </w:rPr>
            </w:pPr>
            <w:r>
              <w:rPr>
                <w:sz w:val="20"/>
                <w:szCs w:val="20"/>
              </w:rPr>
              <w:t>[</w:t>
            </w:r>
            <w:r w:rsidR="002A55CE">
              <w:rPr>
                <w:sz w:val="20"/>
                <w:szCs w:val="20"/>
                <w:lang w:val="vi-VN"/>
              </w:rPr>
              <w:t>22</w:t>
            </w:r>
            <w:r>
              <w:rPr>
                <w:sz w:val="20"/>
                <w:szCs w:val="20"/>
              </w:rPr>
              <w:t xml:space="preserve">] </w:t>
            </w:r>
            <w:r w:rsidR="00BF51A2" w:rsidRPr="00BF51A2">
              <w:rPr>
                <w:rFonts w:eastAsia="Calibri" w:cs="Times New Roman"/>
                <w:noProof/>
                <w:sz w:val="20"/>
                <w:szCs w:val="20"/>
              </w:rPr>
              <w:t xml:space="preserve">J. R. Anderson, </w:t>
            </w:r>
            <w:r w:rsidR="00BF51A2" w:rsidRPr="00BF51A2">
              <w:rPr>
                <w:rFonts w:eastAsia="Calibri" w:cs="Times New Roman"/>
                <w:i/>
                <w:iCs/>
                <w:noProof/>
                <w:sz w:val="20"/>
                <w:szCs w:val="20"/>
              </w:rPr>
              <w:t>Cognitive Psychology and Its Implications</w:t>
            </w:r>
            <w:r w:rsidR="00BF51A2" w:rsidRPr="00BF51A2">
              <w:rPr>
                <w:rFonts w:eastAsia="Calibri" w:cs="Times New Roman"/>
                <w:noProof/>
                <w:sz w:val="20"/>
                <w:szCs w:val="20"/>
              </w:rPr>
              <w:t>, 4th edition. New York: Freeman, 1995</w:t>
            </w:r>
            <w:r w:rsidR="00860F61" w:rsidRPr="00CA65C1">
              <w:rPr>
                <w:rFonts w:eastAsia="Calibri" w:cs="Times New Roman"/>
                <w:noProof/>
                <w:sz w:val="20"/>
                <w:szCs w:val="20"/>
              </w:rPr>
              <w:t>.</w:t>
            </w:r>
          </w:p>
          <w:p w:rsidR="00BF51A2" w:rsidRDefault="00BF51A2" w:rsidP="00BF51A2">
            <w:pPr>
              <w:jc w:val="both"/>
              <w:rPr>
                <w:rFonts w:eastAsia="Calibri" w:cs="Times New Roman"/>
                <w:noProof/>
                <w:sz w:val="20"/>
                <w:szCs w:val="20"/>
              </w:rPr>
            </w:pPr>
            <w:r>
              <w:rPr>
                <w:sz w:val="20"/>
                <w:szCs w:val="20"/>
              </w:rPr>
              <w:t>[</w:t>
            </w:r>
            <w:r>
              <w:rPr>
                <w:sz w:val="20"/>
                <w:szCs w:val="20"/>
                <w:lang w:val="vi-VN"/>
              </w:rPr>
              <w:t>23</w:t>
            </w:r>
            <w:r>
              <w:rPr>
                <w:sz w:val="20"/>
                <w:szCs w:val="20"/>
              </w:rPr>
              <w:t xml:space="preserve">] </w:t>
            </w:r>
            <w:r w:rsidRPr="00BF51A2">
              <w:rPr>
                <w:rFonts w:eastAsia="Calibri" w:cs="Times New Roman"/>
                <w:noProof/>
                <w:sz w:val="20"/>
                <w:szCs w:val="20"/>
              </w:rPr>
              <w:t xml:space="preserve">G. Buck, </w:t>
            </w:r>
            <w:r w:rsidRPr="00BF51A2">
              <w:rPr>
                <w:rFonts w:eastAsia="Calibri" w:cs="Times New Roman"/>
                <w:i/>
                <w:iCs/>
                <w:noProof/>
                <w:sz w:val="20"/>
                <w:szCs w:val="20"/>
              </w:rPr>
              <w:t>Assessing Listening</w:t>
            </w:r>
            <w:r w:rsidRPr="00BF51A2">
              <w:rPr>
                <w:rFonts w:eastAsia="Calibri" w:cs="Times New Roman"/>
                <w:noProof/>
                <w:sz w:val="20"/>
                <w:szCs w:val="20"/>
              </w:rPr>
              <w:t>. Cambridge: Cambridge University Press, 2001</w:t>
            </w:r>
            <w:r w:rsidRPr="00CA65C1">
              <w:rPr>
                <w:rFonts w:eastAsia="Calibri" w:cs="Times New Roman"/>
                <w:noProof/>
                <w:sz w:val="20"/>
                <w:szCs w:val="20"/>
              </w:rPr>
              <w:t>.</w:t>
            </w:r>
          </w:p>
          <w:p w:rsidR="00BF51A2" w:rsidRDefault="00BF51A2" w:rsidP="00BF51A2">
            <w:pPr>
              <w:jc w:val="both"/>
              <w:rPr>
                <w:rFonts w:eastAsia="Calibri" w:cs="Times New Roman"/>
                <w:noProof/>
                <w:sz w:val="20"/>
                <w:szCs w:val="20"/>
              </w:rPr>
            </w:pPr>
            <w:r>
              <w:rPr>
                <w:sz w:val="20"/>
                <w:szCs w:val="20"/>
              </w:rPr>
              <w:t>[</w:t>
            </w:r>
            <w:r>
              <w:rPr>
                <w:sz w:val="20"/>
                <w:szCs w:val="20"/>
                <w:lang w:val="vi-VN"/>
              </w:rPr>
              <w:t>24</w:t>
            </w:r>
            <w:r>
              <w:rPr>
                <w:sz w:val="20"/>
                <w:szCs w:val="20"/>
              </w:rPr>
              <w:t xml:space="preserve">] </w:t>
            </w:r>
            <w:r w:rsidR="002166B5" w:rsidRPr="002166B5">
              <w:rPr>
                <w:rFonts w:eastAsia="Calibri" w:cs="Times New Roman"/>
                <w:noProof/>
                <w:sz w:val="20"/>
                <w:szCs w:val="20"/>
              </w:rPr>
              <w:t xml:space="preserve">J. Boyle, “Factors affecting listening comprehension,” </w:t>
            </w:r>
            <w:r w:rsidR="002166B5" w:rsidRPr="002166B5">
              <w:rPr>
                <w:rFonts w:eastAsia="Calibri" w:cs="Times New Roman"/>
                <w:i/>
                <w:iCs/>
                <w:noProof/>
                <w:sz w:val="20"/>
                <w:szCs w:val="20"/>
              </w:rPr>
              <w:t>ELT Journal</w:t>
            </w:r>
            <w:r w:rsidR="002166B5" w:rsidRPr="002166B5">
              <w:rPr>
                <w:rFonts w:eastAsia="Calibri" w:cs="Times New Roman"/>
                <w:noProof/>
                <w:sz w:val="20"/>
                <w:szCs w:val="20"/>
              </w:rPr>
              <w:t>, vol. 38, no. 3, July, pp. 190-196, 1984</w:t>
            </w:r>
            <w:r w:rsidRPr="00CA65C1">
              <w:rPr>
                <w:rFonts w:eastAsia="Calibri" w:cs="Times New Roman"/>
                <w:noProof/>
                <w:sz w:val="20"/>
                <w:szCs w:val="20"/>
              </w:rPr>
              <w:t>.</w:t>
            </w:r>
          </w:p>
          <w:p w:rsidR="00BF51A2" w:rsidRDefault="00BF51A2" w:rsidP="00BF51A2">
            <w:pPr>
              <w:jc w:val="both"/>
              <w:rPr>
                <w:rFonts w:eastAsia="Calibri" w:cs="Times New Roman"/>
                <w:noProof/>
                <w:sz w:val="20"/>
                <w:szCs w:val="20"/>
              </w:rPr>
            </w:pPr>
            <w:r>
              <w:rPr>
                <w:sz w:val="20"/>
                <w:szCs w:val="20"/>
              </w:rPr>
              <w:t>[</w:t>
            </w:r>
            <w:r w:rsidR="002166B5">
              <w:rPr>
                <w:sz w:val="20"/>
                <w:szCs w:val="20"/>
                <w:lang w:val="vi-VN"/>
              </w:rPr>
              <w:t>25</w:t>
            </w:r>
            <w:r>
              <w:rPr>
                <w:sz w:val="20"/>
                <w:szCs w:val="20"/>
              </w:rPr>
              <w:t xml:space="preserve">] </w:t>
            </w:r>
            <w:r w:rsidR="002166B5" w:rsidRPr="002166B5">
              <w:rPr>
                <w:rFonts w:eastAsia="Calibri" w:cs="Times New Roman"/>
                <w:noProof/>
                <w:sz w:val="20"/>
                <w:szCs w:val="20"/>
              </w:rPr>
              <w:t xml:space="preserve">R. Griffiths, “Speech rate and listening comprehension: Further evidence of the </w:t>
            </w:r>
            <w:r w:rsidR="002166B5" w:rsidRPr="002166B5">
              <w:rPr>
                <w:rFonts w:eastAsia="Calibri" w:cs="Times New Roman"/>
                <w:noProof/>
                <w:sz w:val="20"/>
                <w:szCs w:val="20"/>
              </w:rPr>
              <w:lastRenderedPageBreak/>
              <w:t xml:space="preserve">relationship,” </w:t>
            </w:r>
            <w:r w:rsidR="002166B5" w:rsidRPr="002166B5">
              <w:rPr>
                <w:rFonts w:eastAsia="Calibri" w:cs="Times New Roman"/>
                <w:i/>
                <w:iCs/>
                <w:noProof/>
                <w:sz w:val="20"/>
                <w:szCs w:val="20"/>
              </w:rPr>
              <w:t>TESOL Quarterly</w:t>
            </w:r>
            <w:r w:rsidR="002166B5" w:rsidRPr="002166B5">
              <w:rPr>
                <w:rFonts w:eastAsia="Calibri" w:cs="Times New Roman"/>
                <w:noProof/>
                <w:sz w:val="20"/>
                <w:szCs w:val="20"/>
              </w:rPr>
              <w:t>, vol. 26, no. 2, June, pp. 385-390, 1992</w:t>
            </w:r>
            <w:r w:rsidRPr="00CA65C1">
              <w:rPr>
                <w:rFonts w:eastAsia="Calibri" w:cs="Times New Roman"/>
                <w:noProof/>
                <w:sz w:val="20"/>
                <w:szCs w:val="20"/>
              </w:rPr>
              <w:t>.</w:t>
            </w:r>
          </w:p>
          <w:p w:rsidR="00BF51A2" w:rsidRDefault="00BF51A2" w:rsidP="00BF51A2">
            <w:pPr>
              <w:jc w:val="both"/>
              <w:rPr>
                <w:rFonts w:eastAsia="Calibri" w:cs="Times New Roman"/>
                <w:noProof/>
                <w:sz w:val="20"/>
                <w:szCs w:val="20"/>
              </w:rPr>
            </w:pPr>
            <w:r>
              <w:rPr>
                <w:sz w:val="20"/>
                <w:szCs w:val="20"/>
              </w:rPr>
              <w:t>[</w:t>
            </w:r>
            <w:r w:rsidR="002166B5">
              <w:rPr>
                <w:sz w:val="20"/>
                <w:szCs w:val="20"/>
                <w:lang w:val="vi-VN"/>
              </w:rPr>
              <w:t>26</w:t>
            </w:r>
            <w:r>
              <w:rPr>
                <w:sz w:val="20"/>
                <w:szCs w:val="20"/>
              </w:rPr>
              <w:t xml:space="preserve">] </w:t>
            </w:r>
            <w:r w:rsidR="002166B5" w:rsidRPr="002166B5">
              <w:rPr>
                <w:rFonts w:eastAsia="Calibri" w:cs="Times New Roman"/>
                <w:noProof/>
                <w:sz w:val="20"/>
                <w:szCs w:val="20"/>
              </w:rPr>
              <w:t xml:space="preserve">E. K. Blau, “The effect of syntax, speed, and pauses on foreign language listening comprehension,” </w:t>
            </w:r>
            <w:r w:rsidR="002166B5" w:rsidRPr="002166B5">
              <w:rPr>
                <w:rFonts w:eastAsia="Calibri" w:cs="Times New Roman"/>
                <w:i/>
                <w:iCs/>
                <w:noProof/>
                <w:sz w:val="20"/>
                <w:szCs w:val="20"/>
              </w:rPr>
              <w:t>TESOL Quarterly</w:t>
            </w:r>
            <w:r w:rsidR="002166B5" w:rsidRPr="002166B5">
              <w:rPr>
                <w:rFonts w:eastAsia="Calibri" w:cs="Times New Roman"/>
                <w:noProof/>
                <w:sz w:val="20"/>
                <w:szCs w:val="20"/>
              </w:rPr>
              <w:t>, vol. 24, no. 4, Dec., pp. 746-753, 1990</w:t>
            </w:r>
            <w:r w:rsidRPr="00CA65C1">
              <w:rPr>
                <w:rFonts w:eastAsia="Calibri" w:cs="Times New Roman"/>
                <w:noProof/>
                <w:sz w:val="20"/>
                <w:szCs w:val="20"/>
              </w:rPr>
              <w:t>.</w:t>
            </w:r>
          </w:p>
          <w:p w:rsidR="00BF51A2" w:rsidRDefault="00BF51A2" w:rsidP="00BF51A2">
            <w:pPr>
              <w:jc w:val="both"/>
              <w:rPr>
                <w:rFonts w:eastAsia="Calibri" w:cs="Times New Roman"/>
                <w:noProof/>
                <w:sz w:val="20"/>
                <w:szCs w:val="20"/>
              </w:rPr>
            </w:pPr>
            <w:r>
              <w:rPr>
                <w:sz w:val="20"/>
                <w:szCs w:val="20"/>
              </w:rPr>
              <w:t>[</w:t>
            </w:r>
            <w:r w:rsidR="002166B5">
              <w:rPr>
                <w:sz w:val="20"/>
                <w:szCs w:val="20"/>
                <w:lang w:val="vi-VN"/>
              </w:rPr>
              <w:t>27</w:t>
            </w:r>
            <w:r>
              <w:rPr>
                <w:sz w:val="20"/>
                <w:szCs w:val="20"/>
              </w:rPr>
              <w:t xml:space="preserve">] </w:t>
            </w:r>
            <w:r w:rsidR="002166B5" w:rsidRPr="002166B5">
              <w:rPr>
                <w:rFonts w:eastAsia="Calibri" w:cs="Times New Roman"/>
                <w:noProof/>
                <w:sz w:val="20"/>
                <w:szCs w:val="20"/>
              </w:rPr>
              <w:t xml:space="preserve">M. R. Eisenstein, “Native reactions to non-native speech: A review of empirical research,” </w:t>
            </w:r>
            <w:r w:rsidR="002166B5" w:rsidRPr="002166B5">
              <w:rPr>
                <w:rFonts w:eastAsia="Calibri" w:cs="Times New Roman"/>
                <w:i/>
                <w:iCs/>
                <w:noProof/>
                <w:sz w:val="20"/>
                <w:szCs w:val="20"/>
              </w:rPr>
              <w:t>Studies in Second Language Acquisition</w:t>
            </w:r>
            <w:r w:rsidR="002166B5" w:rsidRPr="002166B5">
              <w:rPr>
                <w:rFonts w:eastAsia="Calibri" w:cs="Times New Roman"/>
                <w:noProof/>
                <w:sz w:val="20"/>
                <w:szCs w:val="20"/>
              </w:rPr>
              <w:t>, vol. 5, no. 2, June, pp. 160-176, 1983</w:t>
            </w:r>
            <w:r w:rsidRPr="00CA65C1">
              <w:rPr>
                <w:rFonts w:eastAsia="Calibri" w:cs="Times New Roman"/>
                <w:noProof/>
                <w:sz w:val="20"/>
                <w:szCs w:val="20"/>
              </w:rPr>
              <w:t>.</w:t>
            </w:r>
          </w:p>
          <w:p w:rsidR="00BF51A2" w:rsidRDefault="00BF51A2" w:rsidP="00BF51A2">
            <w:pPr>
              <w:jc w:val="both"/>
              <w:rPr>
                <w:rFonts w:eastAsia="Calibri" w:cs="Times New Roman"/>
                <w:noProof/>
                <w:sz w:val="20"/>
                <w:szCs w:val="20"/>
              </w:rPr>
            </w:pPr>
            <w:r>
              <w:rPr>
                <w:sz w:val="20"/>
                <w:szCs w:val="20"/>
              </w:rPr>
              <w:t>[</w:t>
            </w:r>
            <w:r w:rsidR="002166B5">
              <w:rPr>
                <w:sz w:val="20"/>
                <w:szCs w:val="20"/>
                <w:lang w:val="vi-VN"/>
              </w:rPr>
              <w:t>28</w:t>
            </w:r>
            <w:r>
              <w:rPr>
                <w:sz w:val="20"/>
                <w:szCs w:val="20"/>
              </w:rPr>
              <w:t xml:space="preserve">] </w:t>
            </w:r>
            <w:r w:rsidR="002166B5" w:rsidRPr="002166B5">
              <w:rPr>
                <w:rFonts w:eastAsia="Calibri" w:cs="Times New Roman"/>
                <w:noProof/>
                <w:sz w:val="20"/>
                <w:szCs w:val="20"/>
              </w:rPr>
              <w:t xml:space="preserve">J. C. Alderson, “Reading in a foreign language: A reading problem or a language problem?,” in </w:t>
            </w:r>
            <w:r w:rsidR="002166B5" w:rsidRPr="002166B5">
              <w:rPr>
                <w:rFonts w:eastAsia="Calibri" w:cs="Times New Roman"/>
                <w:i/>
                <w:iCs/>
                <w:noProof/>
                <w:sz w:val="20"/>
                <w:szCs w:val="20"/>
              </w:rPr>
              <w:t>Reading in a Foreign Language</w:t>
            </w:r>
            <w:r w:rsidR="002166B5" w:rsidRPr="002166B5">
              <w:rPr>
                <w:rFonts w:eastAsia="Calibri" w:cs="Times New Roman"/>
                <w:noProof/>
                <w:sz w:val="20"/>
                <w:szCs w:val="20"/>
              </w:rPr>
              <w:t>, J. C. Alderson and A. H. Urquhart, Eds. London: Longman, 1984, pp. 1-24</w:t>
            </w:r>
            <w:r w:rsidRPr="00CA65C1">
              <w:rPr>
                <w:rFonts w:eastAsia="Calibri" w:cs="Times New Roman"/>
                <w:noProof/>
                <w:sz w:val="20"/>
                <w:szCs w:val="20"/>
              </w:rPr>
              <w:t>.</w:t>
            </w:r>
          </w:p>
          <w:p w:rsidR="002166B5" w:rsidRDefault="002166B5" w:rsidP="002166B5">
            <w:pPr>
              <w:jc w:val="both"/>
              <w:rPr>
                <w:rFonts w:eastAsia="Calibri" w:cs="Times New Roman"/>
                <w:noProof/>
                <w:sz w:val="20"/>
                <w:szCs w:val="20"/>
              </w:rPr>
            </w:pPr>
            <w:r>
              <w:rPr>
                <w:sz w:val="20"/>
                <w:szCs w:val="20"/>
              </w:rPr>
              <w:t>[</w:t>
            </w:r>
            <w:r>
              <w:rPr>
                <w:sz w:val="20"/>
                <w:szCs w:val="20"/>
                <w:lang w:val="vi-VN"/>
              </w:rPr>
              <w:t>29</w:t>
            </w:r>
            <w:r>
              <w:rPr>
                <w:sz w:val="20"/>
                <w:szCs w:val="20"/>
              </w:rPr>
              <w:t xml:space="preserve">] </w:t>
            </w:r>
            <w:r w:rsidRPr="002166B5">
              <w:rPr>
                <w:rFonts w:eastAsia="Calibri" w:cs="Times New Roman"/>
                <w:noProof/>
                <w:sz w:val="20"/>
                <w:szCs w:val="20"/>
              </w:rPr>
              <w:t xml:space="preserve">S. Graham, “Self-efficacy and listening comprehension,” </w:t>
            </w:r>
            <w:r w:rsidRPr="002166B5">
              <w:rPr>
                <w:rFonts w:eastAsia="Calibri" w:cs="Times New Roman"/>
                <w:i/>
                <w:iCs/>
                <w:noProof/>
                <w:sz w:val="20"/>
                <w:szCs w:val="20"/>
              </w:rPr>
              <w:t>ELT Journal</w:t>
            </w:r>
            <w:r w:rsidRPr="002166B5">
              <w:rPr>
                <w:rFonts w:eastAsia="Calibri" w:cs="Times New Roman"/>
                <w:noProof/>
                <w:sz w:val="20"/>
                <w:szCs w:val="20"/>
              </w:rPr>
              <w:t>, vol. 65, no. 2, Apr., pp. 113-124, 2011</w:t>
            </w:r>
            <w:r w:rsidRPr="00CA65C1">
              <w:rPr>
                <w:rFonts w:eastAsia="Calibri" w:cs="Times New Roman"/>
                <w:noProof/>
                <w:sz w:val="20"/>
                <w:szCs w:val="20"/>
              </w:rPr>
              <w:t>.</w:t>
            </w:r>
          </w:p>
          <w:p w:rsidR="002166B5" w:rsidRDefault="002166B5" w:rsidP="002166B5">
            <w:pPr>
              <w:jc w:val="both"/>
              <w:rPr>
                <w:rFonts w:eastAsia="Calibri" w:cs="Times New Roman"/>
                <w:noProof/>
                <w:sz w:val="20"/>
                <w:szCs w:val="20"/>
              </w:rPr>
            </w:pPr>
            <w:r>
              <w:rPr>
                <w:sz w:val="20"/>
                <w:szCs w:val="20"/>
              </w:rPr>
              <w:t>[</w:t>
            </w:r>
            <w:r>
              <w:rPr>
                <w:sz w:val="20"/>
                <w:szCs w:val="20"/>
                <w:lang w:val="vi-VN"/>
              </w:rPr>
              <w:t>30</w:t>
            </w:r>
            <w:r>
              <w:rPr>
                <w:sz w:val="20"/>
                <w:szCs w:val="20"/>
              </w:rPr>
              <w:t xml:space="preserve">] </w:t>
            </w:r>
            <w:r w:rsidRPr="002166B5">
              <w:rPr>
                <w:rFonts w:eastAsia="Calibri" w:cs="Times New Roman"/>
                <w:noProof/>
                <w:sz w:val="20"/>
                <w:szCs w:val="20"/>
              </w:rPr>
              <w:t xml:space="preserve">G. Brown and G. Yule, </w:t>
            </w:r>
            <w:r w:rsidRPr="002166B5">
              <w:rPr>
                <w:rFonts w:eastAsia="Calibri" w:cs="Times New Roman"/>
                <w:i/>
                <w:iCs/>
                <w:noProof/>
                <w:sz w:val="20"/>
                <w:szCs w:val="20"/>
              </w:rPr>
              <w:t>Teaching the Spoken Language</w:t>
            </w:r>
            <w:r w:rsidRPr="002166B5">
              <w:rPr>
                <w:rFonts w:eastAsia="Calibri" w:cs="Times New Roman"/>
                <w:noProof/>
                <w:sz w:val="20"/>
                <w:szCs w:val="20"/>
              </w:rPr>
              <w:t>. Cambridge: Cambridge University Press, 1983</w:t>
            </w:r>
            <w:r w:rsidRPr="00CA65C1">
              <w:rPr>
                <w:rFonts w:eastAsia="Calibri" w:cs="Times New Roman"/>
                <w:noProof/>
                <w:sz w:val="20"/>
                <w:szCs w:val="20"/>
              </w:rPr>
              <w:t>.</w:t>
            </w:r>
          </w:p>
          <w:p w:rsidR="002166B5" w:rsidRDefault="002166B5" w:rsidP="002166B5">
            <w:pPr>
              <w:jc w:val="both"/>
              <w:rPr>
                <w:rFonts w:eastAsia="Calibri" w:cs="Times New Roman"/>
                <w:noProof/>
                <w:sz w:val="20"/>
                <w:szCs w:val="20"/>
              </w:rPr>
            </w:pPr>
            <w:r>
              <w:rPr>
                <w:sz w:val="20"/>
                <w:szCs w:val="20"/>
              </w:rPr>
              <w:t>[</w:t>
            </w:r>
            <w:r>
              <w:rPr>
                <w:sz w:val="20"/>
                <w:szCs w:val="20"/>
                <w:lang w:val="vi-VN"/>
              </w:rPr>
              <w:t>31</w:t>
            </w:r>
            <w:r>
              <w:rPr>
                <w:sz w:val="20"/>
                <w:szCs w:val="20"/>
              </w:rPr>
              <w:t xml:space="preserve">] </w:t>
            </w:r>
            <w:r w:rsidRPr="002166B5">
              <w:rPr>
                <w:rFonts w:eastAsia="Calibri" w:cs="Times New Roman"/>
                <w:noProof/>
                <w:sz w:val="20"/>
                <w:szCs w:val="20"/>
              </w:rPr>
              <w:t xml:space="preserve">T. Hedge, </w:t>
            </w:r>
            <w:r w:rsidRPr="002166B5">
              <w:rPr>
                <w:rFonts w:eastAsia="Calibri" w:cs="Times New Roman"/>
                <w:i/>
                <w:iCs/>
                <w:noProof/>
                <w:sz w:val="20"/>
                <w:szCs w:val="20"/>
              </w:rPr>
              <w:t>Teaching and Learning in the Language Classroom</w:t>
            </w:r>
            <w:r w:rsidRPr="002166B5">
              <w:rPr>
                <w:rFonts w:eastAsia="Calibri" w:cs="Times New Roman"/>
                <w:noProof/>
                <w:sz w:val="20"/>
                <w:szCs w:val="20"/>
              </w:rPr>
              <w:t>. Oxford: Oxford University Press, 2000</w:t>
            </w:r>
            <w:r w:rsidRPr="00CA65C1">
              <w:rPr>
                <w:rFonts w:eastAsia="Calibri" w:cs="Times New Roman"/>
                <w:noProof/>
                <w:sz w:val="20"/>
                <w:szCs w:val="20"/>
              </w:rPr>
              <w:t>.</w:t>
            </w:r>
          </w:p>
          <w:p w:rsidR="002166B5" w:rsidRDefault="002166B5" w:rsidP="002166B5">
            <w:pPr>
              <w:jc w:val="both"/>
              <w:rPr>
                <w:rFonts w:eastAsia="Calibri" w:cs="Times New Roman"/>
                <w:noProof/>
                <w:sz w:val="20"/>
                <w:szCs w:val="20"/>
              </w:rPr>
            </w:pPr>
            <w:r>
              <w:rPr>
                <w:sz w:val="20"/>
                <w:szCs w:val="20"/>
              </w:rPr>
              <w:t>[</w:t>
            </w:r>
            <w:r w:rsidR="00B737C8">
              <w:rPr>
                <w:sz w:val="20"/>
                <w:szCs w:val="20"/>
                <w:lang w:val="vi-VN"/>
              </w:rPr>
              <w:t>3</w:t>
            </w:r>
            <w:r>
              <w:rPr>
                <w:sz w:val="20"/>
                <w:szCs w:val="20"/>
                <w:lang w:val="vi-VN"/>
              </w:rPr>
              <w:t>2</w:t>
            </w:r>
            <w:r>
              <w:rPr>
                <w:sz w:val="20"/>
                <w:szCs w:val="20"/>
              </w:rPr>
              <w:t xml:space="preserve">] </w:t>
            </w:r>
            <w:r w:rsidR="00B737C8" w:rsidRPr="00B737C8">
              <w:rPr>
                <w:rFonts w:eastAsia="Calibri" w:cs="Times New Roman"/>
                <w:noProof/>
                <w:sz w:val="20"/>
                <w:szCs w:val="20"/>
              </w:rPr>
              <w:t xml:space="preserve">A. S. Hasan, “Learners’ perceptions of listening comprehension problems,” </w:t>
            </w:r>
            <w:r w:rsidR="00B737C8" w:rsidRPr="00B737C8">
              <w:rPr>
                <w:rFonts w:eastAsia="Calibri" w:cs="Times New Roman"/>
                <w:i/>
                <w:iCs/>
                <w:noProof/>
                <w:sz w:val="20"/>
                <w:szCs w:val="20"/>
              </w:rPr>
              <w:t>Language, Culture and Curriculum</w:t>
            </w:r>
            <w:r w:rsidR="00B737C8" w:rsidRPr="00B737C8">
              <w:rPr>
                <w:rFonts w:eastAsia="Calibri" w:cs="Times New Roman"/>
                <w:noProof/>
                <w:sz w:val="20"/>
                <w:szCs w:val="20"/>
              </w:rPr>
              <w:t>, vol. 13, no. 2, pp. 137-153, 2000</w:t>
            </w:r>
            <w:r w:rsidRPr="002166B5">
              <w:rPr>
                <w:rFonts w:eastAsia="Calibri" w:cs="Times New Roman"/>
                <w:noProof/>
                <w:color w:val="FF0000"/>
                <w:sz w:val="20"/>
                <w:szCs w:val="20"/>
              </w:rPr>
              <w:t>.</w:t>
            </w:r>
          </w:p>
          <w:p w:rsidR="002166B5" w:rsidRDefault="002166B5" w:rsidP="002166B5">
            <w:pPr>
              <w:jc w:val="both"/>
              <w:rPr>
                <w:rFonts w:eastAsia="Calibri" w:cs="Times New Roman"/>
                <w:noProof/>
                <w:sz w:val="20"/>
                <w:szCs w:val="20"/>
              </w:rPr>
            </w:pPr>
            <w:r>
              <w:rPr>
                <w:sz w:val="20"/>
                <w:szCs w:val="20"/>
              </w:rPr>
              <w:t>[</w:t>
            </w:r>
            <w:r w:rsidR="00B737C8">
              <w:rPr>
                <w:sz w:val="20"/>
                <w:szCs w:val="20"/>
                <w:lang w:val="vi-VN"/>
              </w:rPr>
              <w:t>33</w:t>
            </w:r>
            <w:r>
              <w:rPr>
                <w:sz w:val="20"/>
                <w:szCs w:val="20"/>
              </w:rPr>
              <w:t xml:space="preserve">] </w:t>
            </w:r>
            <w:r w:rsidR="00B737C8" w:rsidRPr="00B737C8">
              <w:rPr>
                <w:rFonts w:eastAsia="Calibri" w:cs="Times New Roman"/>
                <w:noProof/>
                <w:sz w:val="20"/>
                <w:szCs w:val="20"/>
              </w:rPr>
              <w:t xml:space="preserve">A. B. M. Tsui and J. Fullilove, “Bottom-up or top-down processing as a determinant of L2 listening strategy,” </w:t>
            </w:r>
            <w:r w:rsidR="00B737C8" w:rsidRPr="00B737C8">
              <w:rPr>
                <w:rFonts w:eastAsia="Calibri" w:cs="Times New Roman"/>
                <w:i/>
                <w:iCs/>
                <w:noProof/>
                <w:sz w:val="20"/>
                <w:szCs w:val="20"/>
              </w:rPr>
              <w:t>TESOL Quarterly</w:t>
            </w:r>
            <w:r w:rsidR="00B737C8" w:rsidRPr="00B737C8">
              <w:rPr>
                <w:rFonts w:eastAsia="Calibri" w:cs="Times New Roman"/>
                <w:noProof/>
                <w:sz w:val="20"/>
                <w:szCs w:val="20"/>
              </w:rPr>
              <w:t>, vol. 32, no. 1, pp. 43-51, 1998</w:t>
            </w:r>
            <w:r w:rsidRPr="00CA65C1">
              <w:rPr>
                <w:rFonts w:eastAsia="Calibri" w:cs="Times New Roman"/>
                <w:noProof/>
                <w:sz w:val="20"/>
                <w:szCs w:val="20"/>
              </w:rPr>
              <w:t>.</w:t>
            </w:r>
          </w:p>
          <w:p w:rsidR="002166B5" w:rsidRDefault="002166B5" w:rsidP="002166B5">
            <w:pPr>
              <w:jc w:val="both"/>
              <w:rPr>
                <w:rFonts w:eastAsia="Calibri" w:cs="Times New Roman"/>
                <w:noProof/>
                <w:sz w:val="20"/>
                <w:szCs w:val="20"/>
              </w:rPr>
            </w:pPr>
            <w:r>
              <w:rPr>
                <w:sz w:val="20"/>
                <w:szCs w:val="20"/>
              </w:rPr>
              <w:t>[</w:t>
            </w:r>
            <w:r w:rsidR="00B737C8">
              <w:rPr>
                <w:sz w:val="20"/>
                <w:szCs w:val="20"/>
                <w:lang w:val="vi-VN"/>
              </w:rPr>
              <w:t>34</w:t>
            </w:r>
            <w:r>
              <w:rPr>
                <w:sz w:val="20"/>
                <w:szCs w:val="20"/>
              </w:rPr>
              <w:t xml:space="preserve">] </w:t>
            </w:r>
            <w:r w:rsidR="00B737C8" w:rsidRPr="00B737C8">
              <w:rPr>
                <w:rFonts w:eastAsia="Calibri" w:cs="Times New Roman"/>
                <w:noProof/>
                <w:sz w:val="20"/>
                <w:szCs w:val="20"/>
              </w:rPr>
              <w:t xml:space="preserve">T. T. Do, “Developing English listening skills for Vietnamese tertiary students,” </w:t>
            </w:r>
            <w:r w:rsidR="00B737C8" w:rsidRPr="00B737C8">
              <w:rPr>
                <w:rFonts w:eastAsia="Calibri" w:cs="Times New Roman"/>
                <w:i/>
                <w:iCs/>
                <w:noProof/>
                <w:sz w:val="20"/>
                <w:szCs w:val="20"/>
              </w:rPr>
              <w:t>Journal of Science and Technology</w:t>
            </w:r>
            <w:r w:rsidR="00B737C8" w:rsidRPr="00B737C8">
              <w:rPr>
                <w:rFonts w:eastAsia="Calibri" w:cs="Times New Roman"/>
                <w:noProof/>
                <w:sz w:val="20"/>
                <w:szCs w:val="20"/>
              </w:rPr>
              <w:t>, vol. 12, no. 3, pp. 45-52, 2025</w:t>
            </w:r>
            <w:r w:rsidRPr="00CA65C1">
              <w:rPr>
                <w:rFonts w:eastAsia="Calibri" w:cs="Times New Roman"/>
                <w:noProof/>
                <w:sz w:val="20"/>
                <w:szCs w:val="20"/>
              </w:rPr>
              <w:t>.</w:t>
            </w:r>
          </w:p>
          <w:p w:rsidR="002166B5" w:rsidRDefault="002166B5" w:rsidP="002166B5">
            <w:pPr>
              <w:jc w:val="both"/>
              <w:rPr>
                <w:rFonts w:eastAsia="Calibri" w:cs="Times New Roman"/>
                <w:noProof/>
                <w:sz w:val="20"/>
                <w:szCs w:val="20"/>
              </w:rPr>
            </w:pPr>
            <w:r>
              <w:rPr>
                <w:sz w:val="20"/>
                <w:szCs w:val="20"/>
              </w:rPr>
              <w:t>[</w:t>
            </w:r>
            <w:r w:rsidR="00B737C8">
              <w:rPr>
                <w:sz w:val="20"/>
                <w:szCs w:val="20"/>
                <w:lang w:val="vi-VN"/>
              </w:rPr>
              <w:t>35</w:t>
            </w:r>
            <w:r>
              <w:rPr>
                <w:sz w:val="20"/>
                <w:szCs w:val="20"/>
              </w:rPr>
              <w:t xml:space="preserve">] </w:t>
            </w:r>
            <w:r w:rsidR="00B737C8" w:rsidRPr="00B737C8">
              <w:rPr>
                <w:rFonts w:eastAsia="Calibri" w:cs="Times New Roman"/>
                <w:noProof/>
                <w:sz w:val="20"/>
                <w:szCs w:val="20"/>
              </w:rPr>
              <w:t xml:space="preserve">T. Trinh and H. Pham, “Investigating listening difficulties of EFL students: A case study at Dong Nai Technology University,” </w:t>
            </w:r>
            <w:r w:rsidR="00B737C8" w:rsidRPr="00B737C8">
              <w:rPr>
                <w:rFonts w:eastAsia="Calibri" w:cs="Times New Roman"/>
                <w:i/>
                <w:iCs/>
                <w:noProof/>
                <w:sz w:val="20"/>
                <w:szCs w:val="20"/>
              </w:rPr>
              <w:t>Journal of Educational Innovation</w:t>
            </w:r>
            <w:r w:rsidR="00B737C8" w:rsidRPr="00B737C8">
              <w:rPr>
                <w:rFonts w:eastAsia="Calibri" w:cs="Times New Roman"/>
                <w:noProof/>
                <w:sz w:val="20"/>
                <w:szCs w:val="20"/>
              </w:rPr>
              <w:t>, vol. 14, no. 2, pp. 88-102, 2025</w:t>
            </w:r>
            <w:r w:rsidRPr="00CA65C1">
              <w:rPr>
                <w:rFonts w:eastAsia="Calibri" w:cs="Times New Roman"/>
                <w:noProof/>
                <w:sz w:val="20"/>
                <w:szCs w:val="20"/>
              </w:rPr>
              <w:t>.</w:t>
            </w:r>
          </w:p>
          <w:p w:rsidR="002166B5" w:rsidRDefault="002166B5" w:rsidP="002166B5">
            <w:pPr>
              <w:jc w:val="both"/>
              <w:rPr>
                <w:rFonts w:eastAsia="Calibri" w:cs="Times New Roman"/>
                <w:noProof/>
                <w:sz w:val="20"/>
                <w:szCs w:val="20"/>
              </w:rPr>
            </w:pPr>
            <w:r>
              <w:rPr>
                <w:sz w:val="20"/>
                <w:szCs w:val="20"/>
              </w:rPr>
              <w:t>[</w:t>
            </w:r>
            <w:r w:rsidR="00B737C8">
              <w:rPr>
                <w:sz w:val="20"/>
                <w:szCs w:val="20"/>
                <w:lang w:val="vi-VN"/>
              </w:rPr>
              <w:t>36</w:t>
            </w:r>
            <w:r>
              <w:rPr>
                <w:sz w:val="20"/>
                <w:szCs w:val="20"/>
              </w:rPr>
              <w:t xml:space="preserve">] </w:t>
            </w:r>
            <w:r w:rsidR="00B737C8" w:rsidRPr="00B737C8">
              <w:rPr>
                <w:rFonts w:eastAsia="Calibri" w:cs="Times New Roman"/>
                <w:noProof/>
                <w:sz w:val="20"/>
                <w:szCs w:val="20"/>
              </w:rPr>
              <w:t xml:space="preserve">H. Hoang, T. Doan, and L. Le, “The effectiveness of dictation applications in improving L2 listening proficiency,” </w:t>
            </w:r>
            <w:r w:rsidR="00B737C8" w:rsidRPr="00B737C8">
              <w:rPr>
                <w:rFonts w:eastAsia="Calibri" w:cs="Times New Roman"/>
                <w:i/>
                <w:iCs/>
                <w:noProof/>
                <w:sz w:val="20"/>
                <w:szCs w:val="20"/>
              </w:rPr>
              <w:t xml:space="preserve">International Journal of </w:t>
            </w:r>
            <w:r w:rsidR="00B737C8" w:rsidRPr="00B737C8">
              <w:rPr>
                <w:rFonts w:eastAsia="Calibri" w:cs="Times New Roman"/>
                <w:i/>
                <w:iCs/>
                <w:noProof/>
                <w:sz w:val="20"/>
                <w:szCs w:val="20"/>
              </w:rPr>
              <w:lastRenderedPageBreak/>
              <w:t>Computer-Assisted Language Learning</w:t>
            </w:r>
            <w:r w:rsidR="00B737C8" w:rsidRPr="00B737C8">
              <w:rPr>
                <w:rFonts w:eastAsia="Calibri" w:cs="Times New Roman"/>
                <w:noProof/>
                <w:sz w:val="20"/>
                <w:szCs w:val="20"/>
              </w:rPr>
              <w:t>, vol. 5, no. 1, pp. 20-35, 2025</w:t>
            </w:r>
            <w:r w:rsidRPr="00CA65C1">
              <w:rPr>
                <w:rFonts w:eastAsia="Calibri" w:cs="Times New Roman"/>
                <w:noProof/>
                <w:sz w:val="20"/>
                <w:szCs w:val="20"/>
              </w:rPr>
              <w:t>.</w:t>
            </w:r>
          </w:p>
          <w:p w:rsidR="00082FCB" w:rsidRPr="00082FCB" w:rsidRDefault="002166B5" w:rsidP="002166B5">
            <w:pPr>
              <w:jc w:val="both"/>
              <w:rPr>
                <w:sz w:val="20"/>
                <w:szCs w:val="20"/>
                <w:lang w:val="vi-VN"/>
              </w:rPr>
            </w:pPr>
            <w:r>
              <w:rPr>
                <w:sz w:val="20"/>
                <w:szCs w:val="20"/>
              </w:rPr>
              <w:t>[</w:t>
            </w:r>
            <w:r w:rsidR="00082FCB">
              <w:rPr>
                <w:sz w:val="20"/>
                <w:szCs w:val="20"/>
                <w:lang w:val="vi-VN"/>
              </w:rPr>
              <w:t>37</w:t>
            </w:r>
            <w:r>
              <w:rPr>
                <w:sz w:val="20"/>
                <w:szCs w:val="20"/>
              </w:rPr>
              <w:t xml:space="preserve">] </w:t>
            </w:r>
            <w:r w:rsidR="00082FCB" w:rsidRPr="00082FCB">
              <w:rPr>
                <w:rFonts w:eastAsia="Calibri" w:cs="Times New Roman"/>
                <w:noProof/>
                <w:sz w:val="20"/>
                <w:szCs w:val="20"/>
              </w:rPr>
              <w:t xml:space="preserve">J. W. Creswell and J. D. Creswell, </w:t>
            </w:r>
            <w:r w:rsidR="00082FCB" w:rsidRPr="00082FCB">
              <w:rPr>
                <w:rFonts w:eastAsia="Calibri" w:cs="Times New Roman"/>
                <w:i/>
                <w:iCs/>
                <w:noProof/>
                <w:sz w:val="20"/>
                <w:szCs w:val="20"/>
              </w:rPr>
              <w:t>Research Design: Qualitative, Quantitative, and Mixed Methods Approaches</w:t>
            </w:r>
            <w:r w:rsidR="00082FCB" w:rsidRPr="00082FCB">
              <w:rPr>
                <w:rFonts w:eastAsia="Calibri" w:cs="Times New Roman"/>
                <w:noProof/>
                <w:sz w:val="20"/>
                <w:szCs w:val="20"/>
              </w:rPr>
              <w:t xml:space="preserve">, 5th edition. Thousand Oaks, CA: SAGE Publications, </w:t>
            </w:r>
            <w:r w:rsidR="00082FCB">
              <w:rPr>
                <w:rFonts w:eastAsia="Calibri" w:cs="Times New Roman"/>
                <w:noProof/>
                <w:sz w:val="20"/>
                <w:szCs w:val="20"/>
                <w:lang w:val="vi-VN"/>
              </w:rPr>
              <w:t>2018.</w:t>
            </w:r>
          </w:p>
          <w:p w:rsidR="002166B5" w:rsidRDefault="002166B5" w:rsidP="002166B5">
            <w:pPr>
              <w:jc w:val="both"/>
              <w:rPr>
                <w:rFonts w:eastAsia="Calibri" w:cs="Times New Roman"/>
                <w:noProof/>
                <w:sz w:val="20"/>
                <w:szCs w:val="20"/>
              </w:rPr>
            </w:pPr>
            <w:r>
              <w:rPr>
                <w:sz w:val="20"/>
                <w:szCs w:val="20"/>
              </w:rPr>
              <w:t>[</w:t>
            </w:r>
            <w:r w:rsidR="00082FCB">
              <w:rPr>
                <w:sz w:val="20"/>
                <w:szCs w:val="20"/>
                <w:lang w:val="vi-VN"/>
              </w:rPr>
              <w:t>38</w:t>
            </w:r>
            <w:r>
              <w:rPr>
                <w:sz w:val="20"/>
                <w:szCs w:val="20"/>
              </w:rPr>
              <w:t xml:space="preserve">] </w:t>
            </w:r>
            <w:r w:rsidR="00082FCB" w:rsidRPr="00082FCB">
              <w:rPr>
                <w:rFonts w:eastAsia="Calibri" w:cs="Times New Roman"/>
                <w:noProof/>
                <w:sz w:val="20"/>
                <w:szCs w:val="20"/>
              </w:rPr>
              <w:t xml:space="preserve">S. Kvale and S. Brinkmann, </w:t>
            </w:r>
            <w:r w:rsidR="00082FCB" w:rsidRPr="00082FCB">
              <w:rPr>
                <w:rFonts w:eastAsia="Calibri" w:cs="Times New Roman"/>
                <w:i/>
                <w:iCs/>
                <w:noProof/>
                <w:sz w:val="20"/>
                <w:szCs w:val="20"/>
              </w:rPr>
              <w:t>Interviews: Learning the Craft of Qualitative Research Interviewing</w:t>
            </w:r>
            <w:r w:rsidR="00082FCB" w:rsidRPr="00082FCB">
              <w:rPr>
                <w:rFonts w:eastAsia="Calibri" w:cs="Times New Roman"/>
                <w:noProof/>
                <w:sz w:val="20"/>
                <w:szCs w:val="20"/>
              </w:rPr>
              <w:t>, 2nd edition. Thousand Oaks, CA: SAGE Publications, 2009</w:t>
            </w:r>
            <w:r w:rsidRPr="00CA65C1">
              <w:rPr>
                <w:rFonts w:eastAsia="Calibri" w:cs="Times New Roman"/>
                <w:noProof/>
                <w:sz w:val="20"/>
                <w:szCs w:val="20"/>
              </w:rPr>
              <w:t>.</w:t>
            </w:r>
          </w:p>
          <w:p w:rsidR="00082FCB" w:rsidRDefault="00082FCB" w:rsidP="00082FCB">
            <w:pPr>
              <w:jc w:val="both"/>
              <w:rPr>
                <w:rFonts w:eastAsia="Calibri" w:cs="Times New Roman"/>
                <w:noProof/>
                <w:sz w:val="20"/>
                <w:szCs w:val="20"/>
              </w:rPr>
            </w:pPr>
            <w:r>
              <w:rPr>
                <w:sz w:val="20"/>
                <w:szCs w:val="20"/>
              </w:rPr>
              <w:t>[</w:t>
            </w:r>
            <w:r>
              <w:rPr>
                <w:sz w:val="20"/>
                <w:szCs w:val="20"/>
                <w:lang w:val="vi-VN"/>
              </w:rPr>
              <w:t>39</w:t>
            </w:r>
            <w:r>
              <w:rPr>
                <w:sz w:val="20"/>
                <w:szCs w:val="20"/>
              </w:rPr>
              <w:t xml:space="preserve">] </w:t>
            </w:r>
            <w:r w:rsidRPr="00082FCB">
              <w:rPr>
                <w:rFonts w:eastAsia="Calibri" w:cs="Times New Roman"/>
                <w:noProof/>
                <w:sz w:val="20"/>
                <w:szCs w:val="20"/>
              </w:rPr>
              <w:t xml:space="preserve">Z. Dörnyei and T. Taguchi, </w:t>
            </w:r>
            <w:r w:rsidRPr="00082FCB">
              <w:rPr>
                <w:rFonts w:eastAsia="Calibri" w:cs="Times New Roman"/>
                <w:i/>
                <w:iCs/>
                <w:noProof/>
                <w:sz w:val="20"/>
                <w:szCs w:val="20"/>
              </w:rPr>
              <w:t>Questionnaires in Second Language Research: Construction, Administration, and Processing</w:t>
            </w:r>
            <w:r w:rsidRPr="00082FCB">
              <w:rPr>
                <w:rFonts w:eastAsia="Calibri" w:cs="Times New Roman"/>
                <w:noProof/>
                <w:sz w:val="20"/>
                <w:szCs w:val="20"/>
              </w:rPr>
              <w:t>, 2nd edition. New York: Routledge, 2010</w:t>
            </w:r>
            <w:r w:rsidRPr="00CA65C1">
              <w:rPr>
                <w:rFonts w:eastAsia="Calibri" w:cs="Times New Roman"/>
                <w:noProof/>
                <w:sz w:val="20"/>
                <w:szCs w:val="20"/>
              </w:rPr>
              <w:t>.</w:t>
            </w:r>
          </w:p>
          <w:p w:rsidR="00082FCB" w:rsidRDefault="00082FCB" w:rsidP="00082FCB">
            <w:pPr>
              <w:jc w:val="both"/>
              <w:rPr>
                <w:rFonts w:eastAsia="Calibri" w:cs="Times New Roman"/>
                <w:noProof/>
                <w:sz w:val="20"/>
                <w:szCs w:val="20"/>
              </w:rPr>
            </w:pPr>
          </w:p>
          <w:p w:rsidR="00082FCB" w:rsidRDefault="00082FCB" w:rsidP="002166B5">
            <w:pPr>
              <w:jc w:val="both"/>
              <w:rPr>
                <w:rFonts w:eastAsia="Calibri" w:cs="Times New Roman"/>
                <w:noProof/>
                <w:sz w:val="20"/>
                <w:szCs w:val="20"/>
              </w:rPr>
            </w:pPr>
          </w:p>
          <w:p w:rsidR="002166B5" w:rsidRDefault="002166B5" w:rsidP="00BF51A2">
            <w:pPr>
              <w:jc w:val="both"/>
              <w:rPr>
                <w:rFonts w:eastAsia="Calibri" w:cs="Times New Roman"/>
                <w:noProof/>
                <w:sz w:val="20"/>
                <w:szCs w:val="20"/>
              </w:rPr>
            </w:pPr>
          </w:p>
          <w:p w:rsidR="00BF51A2" w:rsidRPr="00FE7C17" w:rsidRDefault="00BF51A2" w:rsidP="00F4684D">
            <w:pPr>
              <w:jc w:val="both"/>
            </w:pPr>
          </w:p>
          <w:p w:rsidR="00840743" w:rsidRPr="00CA65C1" w:rsidRDefault="00840743" w:rsidP="00F4684D">
            <w:pPr>
              <w:ind w:left="360"/>
              <w:jc w:val="both"/>
              <w:rPr>
                <w:rFonts w:eastAsia="Calibri" w:cs="Times New Roman"/>
                <w:noProof/>
                <w:sz w:val="20"/>
                <w:szCs w:val="20"/>
              </w:rPr>
            </w:pPr>
          </w:p>
          <w:p w:rsidR="0089219A" w:rsidRPr="00310003" w:rsidRDefault="0089219A" w:rsidP="00F4684D">
            <w:pPr>
              <w:ind w:left="720"/>
              <w:jc w:val="both"/>
              <w:rPr>
                <w:rFonts w:eastAsia="Calibri" w:cs="Times New Roman"/>
                <w:sz w:val="20"/>
                <w:szCs w:val="20"/>
              </w:rPr>
            </w:pPr>
          </w:p>
        </w:tc>
      </w:tr>
    </w:tbl>
    <w:p w:rsidR="0089219A" w:rsidRPr="00310003" w:rsidRDefault="0089219A" w:rsidP="0089219A">
      <w:pPr>
        <w:spacing w:before="120" w:after="120" w:line="240" w:lineRule="auto"/>
        <w:jc w:val="both"/>
        <w:rPr>
          <w:rFonts w:eastAsia="Times New Roman" w:cs="Times New Roman"/>
          <w:b/>
          <w:bCs/>
          <w:sz w:val="22"/>
        </w:rPr>
      </w:pPr>
    </w:p>
    <w:p w:rsidR="00924F9A" w:rsidRPr="00310003" w:rsidRDefault="00924F9A" w:rsidP="00924F9A"/>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924F9A" w:rsidRPr="00310003" w:rsidRDefault="00764287" w:rsidP="00924F9A">
      <w:pPr>
        <w:pStyle w:val="Bibliography"/>
        <w:ind w:left="720" w:hanging="720"/>
        <w:rPr>
          <w:noProof/>
        </w:rPr>
      </w:pPr>
      <w:r w:rsidRPr="00310003">
        <w:rPr>
          <w:rFonts w:eastAsia="Times New Roman" w:cs="Times New Roman"/>
          <w:sz w:val="22"/>
          <w:szCs w:val="24"/>
        </w:rPr>
        <w:fldChar w:fldCharType="begin"/>
      </w:r>
      <w:r w:rsidR="00737059" w:rsidRPr="00310003">
        <w:rPr>
          <w:rFonts w:eastAsia="Times New Roman" w:cs="Times New Roman"/>
          <w:sz w:val="22"/>
          <w:szCs w:val="24"/>
        </w:rPr>
        <w:instrText xml:space="preserve"> BIBLIOGRAPHY  \l 1033 </w:instrText>
      </w:r>
      <w:r w:rsidRPr="00310003">
        <w:rPr>
          <w:rFonts w:eastAsia="Times New Roman" w:cs="Times New Roman"/>
          <w:sz w:val="22"/>
          <w:szCs w:val="24"/>
        </w:rPr>
        <w:fldChar w:fldCharType="separate"/>
      </w:r>
    </w:p>
    <w:p w:rsidR="00924F9A" w:rsidRPr="00310003" w:rsidRDefault="00924F9A">
      <w:pPr>
        <w:divId w:val="1941134051"/>
        <w:rPr>
          <w:rFonts w:eastAsia="Times New Roman"/>
          <w:noProof/>
        </w:rPr>
      </w:pPr>
    </w:p>
    <w:p w:rsidR="00A31D1D" w:rsidRPr="003114DE" w:rsidRDefault="00764287" w:rsidP="003114DE">
      <w:pPr>
        <w:pStyle w:val="Bibliography"/>
        <w:ind w:left="720" w:hanging="720"/>
        <w:rPr>
          <w:noProof/>
          <w:lang w:val="vi-VN"/>
        </w:rPr>
        <w:sectPr w:rsidR="00A31D1D" w:rsidRPr="003114DE" w:rsidSect="00540990">
          <w:type w:val="continuous"/>
          <w:pgSz w:w="12240" w:h="15840"/>
          <w:pgMar w:top="1134" w:right="1134" w:bottom="1134" w:left="1701" w:header="720" w:footer="720" w:gutter="0"/>
          <w:cols w:num="2" w:space="720"/>
          <w:docGrid w:linePitch="360"/>
        </w:sectPr>
      </w:pPr>
      <w:r w:rsidRPr="00310003">
        <w:rPr>
          <w:rStyle w:val="Hyperlink"/>
          <w:noProof/>
        </w:rPr>
        <w:fldChar w:fldCharType="end"/>
      </w:r>
    </w:p>
    <w:p w:rsidR="002367D8" w:rsidRDefault="002367D8"/>
    <w:p w:rsidR="002367D8" w:rsidRDefault="002367D8" w:rsidP="002367D8">
      <w:pPr>
        <w:spacing w:before="120" w:after="120" w:line="240" w:lineRule="auto"/>
        <w:jc w:val="center"/>
        <w:rPr>
          <w:rFonts w:ascii="Arial" w:eastAsia="Times New Roman" w:hAnsi="Arial" w:cs="Arial"/>
          <w:b/>
          <w:bCs/>
          <w:color w:val="000000"/>
          <w:sz w:val="32"/>
          <w:szCs w:val="32"/>
        </w:rPr>
      </w:pPr>
    </w:p>
    <w:p w:rsidR="002367D8" w:rsidRDefault="002367D8" w:rsidP="002367D8">
      <w:pPr>
        <w:spacing w:before="120" w:after="120" w:line="240" w:lineRule="auto"/>
        <w:jc w:val="center"/>
        <w:rPr>
          <w:rFonts w:ascii="Arial" w:eastAsia="Times New Roman" w:hAnsi="Arial" w:cs="Arial"/>
          <w:b/>
          <w:bCs/>
          <w:color w:val="000000"/>
          <w:sz w:val="32"/>
          <w:szCs w:val="32"/>
        </w:rPr>
      </w:pPr>
    </w:p>
    <w:p w:rsidR="002367D8" w:rsidRDefault="00F106E5" w:rsidP="002367D8">
      <w:pPr>
        <w:spacing w:before="120" w:after="120" w:line="240" w:lineRule="auto"/>
        <w:jc w:val="center"/>
        <w:rPr>
          <w:rFonts w:ascii="Arial" w:eastAsia="Times New Roman" w:hAnsi="Arial" w:cs="Arial"/>
          <w:b/>
          <w:bCs/>
          <w:color w:val="000000"/>
          <w:sz w:val="32"/>
          <w:szCs w:val="32"/>
        </w:rPr>
      </w:pPr>
      <w:r w:rsidRPr="00F106E5">
        <w:rPr>
          <w:rFonts w:ascii="Arial" w:eastAsia="Times New Roman" w:hAnsi="Arial" w:cs="Arial"/>
          <w:b/>
          <w:bCs/>
          <w:color w:val="000000"/>
          <w:sz w:val="32"/>
          <w:szCs w:val="32"/>
        </w:rPr>
        <w:t>NGHIÊN CỨU CÁC YẾU TỐ ẢNH HƯỞNG ĐẾN KHÓ KHĂN TRONG NGHE HIỂU TIẾNG ANH CỦA SINH VIÊN NĂM THỨ NHẤT CHUYÊN NGÀNH TIẾNG ANH TẠI TRƯỜNG ĐẠI HỌC QUY NHƠN</w:t>
      </w:r>
    </w:p>
    <w:p w:rsidR="002367D8" w:rsidRPr="00310003" w:rsidRDefault="002367D8" w:rsidP="002367D8">
      <w:pPr>
        <w:spacing w:before="120" w:after="120" w:line="240" w:lineRule="auto"/>
        <w:jc w:val="center"/>
        <w:rPr>
          <w:rFonts w:ascii="Arial" w:eastAsia="Times New Roman" w:hAnsi="Arial" w:cs="Arial"/>
          <w:b/>
          <w:bCs/>
          <w:color w:val="000000"/>
          <w:sz w:val="32"/>
          <w:szCs w:val="32"/>
        </w:rPr>
      </w:pPr>
    </w:p>
    <w:p w:rsidR="002367D8" w:rsidRPr="00310003" w:rsidRDefault="002367D8" w:rsidP="002367D8">
      <w:pPr>
        <w:spacing w:after="0" w:line="240" w:lineRule="auto"/>
        <w:ind w:right="68"/>
        <w:jc w:val="center"/>
        <w:rPr>
          <w:rFonts w:eastAsia="Times New Roman" w:cs="Times New Roman"/>
          <w:szCs w:val="24"/>
        </w:rPr>
      </w:pPr>
      <w:r w:rsidRPr="00310003">
        <w:rPr>
          <w:rFonts w:eastAsia="Times New Roman" w:cs="Times New Roman"/>
          <w:b/>
          <w:bCs/>
          <w:color w:val="000000"/>
          <w:szCs w:val="24"/>
        </w:rPr>
        <w:t xml:space="preserve">Nguyễn Trần Yến Nhi*, Lê Nhân Thành </w:t>
      </w:r>
    </w:p>
    <w:p w:rsidR="002367D8" w:rsidRPr="00310003" w:rsidRDefault="002367D8" w:rsidP="002367D8">
      <w:pPr>
        <w:spacing w:after="0" w:line="240" w:lineRule="auto"/>
        <w:rPr>
          <w:rFonts w:eastAsia="Times New Roman" w:cs="Times New Roman"/>
          <w:szCs w:val="24"/>
        </w:rPr>
      </w:pPr>
    </w:p>
    <w:p w:rsidR="002367D8" w:rsidRPr="00310003" w:rsidRDefault="002367D8" w:rsidP="002367D8">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 Trường Đại học Quy Nhơn, Bình Định, Việt Nam</w:t>
      </w:r>
    </w:p>
    <w:p w:rsidR="002367D8" w:rsidRPr="00310003" w:rsidRDefault="002367D8" w:rsidP="002367D8">
      <w:pPr>
        <w:spacing w:after="0" w:line="240" w:lineRule="auto"/>
        <w:ind w:right="70"/>
        <w:jc w:val="center"/>
        <w:rPr>
          <w:rFonts w:eastAsia="Times New Roman" w:cs="Times New Roman"/>
          <w:szCs w:val="24"/>
        </w:rPr>
      </w:pPr>
    </w:p>
    <w:p w:rsidR="002367D8" w:rsidRPr="00310003" w:rsidRDefault="002367D8" w:rsidP="002367D8">
      <w:pPr>
        <w:spacing w:after="0" w:line="240" w:lineRule="auto"/>
        <w:jc w:val="center"/>
        <w:rPr>
          <w:rFonts w:eastAsia="Times New Roman" w:cs="Times New Roman"/>
          <w:i/>
          <w:sz w:val="22"/>
          <w:szCs w:val="24"/>
        </w:rPr>
      </w:pPr>
      <w:r w:rsidRPr="00310003">
        <w:rPr>
          <w:rFonts w:eastAsia="Times New Roman" w:cs="Times New Roman"/>
          <w:i/>
          <w:sz w:val="22"/>
          <w:szCs w:val="24"/>
        </w:rPr>
        <w:t xml:space="preserve">*Tác giả liên hệ chính. Email: </w:t>
      </w:r>
      <w:hyperlink r:id="rId16" w:history="1">
        <w:r w:rsidRPr="00310003">
          <w:rPr>
            <w:rStyle w:val="Hyperlink"/>
            <w:rFonts w:eastAsia="Times New Roman" w:cs="Times New Roman"/>
            <w:i/>
            <w:sz w:val="22"/>
            <w:szCs w:val="24"/>
          </w:rPr>
          <w:t>nhi4557510172@st.qnu.edu.vn</w:t>
        </w:r>
      </w:hyperlink>
    </w:p>
    <w:p w:rsidR="002367D8" w:rsidRPr="00310003" w:rsidRDefault="002367D8" w:rsidP="002367D8">
      <w:pPr>
        <w:spacing w:after="0" w:line="240" w:lineRule="auto"/>
        <w:jc w:val="center"/>
        <w:rPr>
          <w:rFonts w:eastAsia="Times New Roman" w:cs="Times New Roman"/>
          <w:i/>
          <w:sz w:val="22"/>
          <w:szCs w:val="24"/>
        </w:rPr>
      </w:pPr>
    </w:p>
    <w:p w:rsidR="002367D8" w:rsidRPr="00310003" w:rsidRDefault="002367D8" w:rsidP="002367D8">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367D8" w:rsidRPr="00310003" w:rsidRDefault="002367D8" w:rsidP="002367D8">
      <w:pPr>
        <w:spacing w:before="120" w:after="120" w:line="240" w:lineRule="auto"/>
        <w:jc w:val="both"/>
        <w:rPr>
          <w:rFonts w:eastAsia="Times New Roman" w:cs="Times New Roman"/>
          <w:szCs w:val="24"/>
        </w:rPr>
      </w:pPr>
      <w:r w:rsidRPr="00310003">
        <w:rPr>
          <w:rFonts w:eastAsia="Times New Roman" w:cs="Times New Roman"/>
          <w:b/>
          <w:bCs/>
          <w:color w:val="000000"/>
          <w:sz w:val="22"/>
        </w:rPr>
        <w:t>TÓM TẮT</w:t>
      </w:r>
    </w:p>
    <w:p w:rsidR="002367D8" w:rsidRPr="00310003" w:rsidRDefault="00F106E5" w:rsidP="002367D8">
      <w:pPr>
        <w:spacing w:before="120" w:after="120" w:line="240" w:lineRule="auto"/>
        <w:ind w:firstLine="567"/>
        <w:jc w:val="both"/>
        <w:rPr>
          <w:rFonts w:eastAsia="Times New Roman" w:cs="Times New Roman"/>
          <w:color w:val="000000"/>
          <w:sz w:val="20"/>
          <w:szCs w:val="20"/>
        </w:rPr>
      </w:pPr>
      <w:r w:rsidRPr="00F106E5">
        <w:rPr>
          <w:rFonts w:eastAsia="Times New Roman" w:cs="Times New Roman"/>
          <w:color w:val="000000"/>
          <w:sz w:val="20"/>
          <w:szCs w:val="20"/>
        </w:rPr>
        <w:t>Nghiên cứu này khảo sát những khó khăn trong nghe hiểu mà 70 sinh viên năm nhất chuyên ngành Tiếng Anh tại Trường Đại học Quy Nhơn gặp phải trong giai đoạn chuyển tiếp lên bậc đại học. Sử dụng phương pháp nghiên cứu hỗn hợp, dữ liệu được thu thập thông qua bảng hỏi có cấu trúc và phỏng vấn bán cấu trúc, sau đó được phân tích bằng thống kê mô tả và phân tích theo chủ đề. Kết quả nghiên cứu xác định ba nhóm rào cản chính: các yếu tố liên quan đến người nghe (vốn từ vựng hạn chế và tâm lý lo âu cao), các yếu tố liên quan đến người nói (tốc độ nói nhanh và sự đa dạng về giọng địa phương), và các thách thức liên quan đến môi trường hoặc nhiệm vụ nghe. Đáng chú ý, vốn từ vựng hạn chế và khả năng xử lý lời nói tự nhiên ở tốc độ nhanh được coi là những rào cản đáng kể nhất, phản ánh khoảng cách lớn giữa chương trình đào tạo ở bậc phổ thông và yêu cầu ở bậc đại học. Dựa trên những kết quả này, nghiên cứu đề xuất một số thay đổi về phương pháp giảng dạy, bao gồm việc tích hợp các tài liệu nghe thực tế (authentic materials), hướng dẫn các chiến thuật siêu nhận thức và xây dựng môi trường lớp học ít áp lực. Những kết quả này cung cấp một khung thực tiễn cho giảng viên và sinh viên nhằm nâng cao năng lực nghe và kết quả học tập ngay từ giai đo</w:t>
      </w:r>
      <w:r>
        <w:rPr>
          <w:rFonts w:eastAsia="Times New Roman" w:cs="Times New Roman"/>
          <w:color w:val="000000"/>
          <w:sz w:val="20"/>
          <w:szCs w:val="20"/>
        </w:rPr>
        <w:t>ạn đầu của chương trình cử nhân</w:t>
      </w:r>
      <w:r w:rsidR="002367D8" w:rsidRPr="005A4CBD">
        <w:rPr>
          <w:rFonts w:eastAsia="Times New Roman" w:cs="Times New Roman"/>
          <w:color w:val="000000"/>
          <w:sz w:val="20"/>
          <w:szCs w:val="20"/>
        </w:rPr>
        <w:t>.</w:t>
      </w:r>
    </w:p>
    <w:p w:rsidR="002367D8" w:rsidRPr="00310003" w:rsidRDefault="002367D8" w:rsidP="002367D8">
      <w:pPr>
        <w:rPr>
          <w:i/>
          <w:sz w:val="20"/>
        </w:rPr>
      </w:pPr>
      <w:r w:rsidRPr="00310003">
        <w:rPr>
          <w:b/>
          <w:bCs/>
          <w:sz w:val="20"/>
        </w:rPr>
        <w:t>Keywords:</w:t>
      </w:r>
      <w:r w:rsidRPr="00310003">
        <w:rPr>
          <w:sz w:val="20"/>
        </w:rPr>
        <w:t xml:space="preserve"> </w:t>
      </w:r>
      <w:r w:rsidR="006C1583" w:rsidRPr="006C1583">
        <w:rPr>
          <w:i/>
          <w:sz w:val="20"/>
        </w:rPr>
        <w:t>Nghe tiếng Anh, sinh viên năm nhất, khó khăn nghe hiểu, chuyển tiếp học thuật.</w:t>
      </w:r>
      <w:bookmarkStart w:id="10" w:name="_GoBack"/>
      <w:bookmarkEnd w:id="10"/>
    </w:p>
    <w:p w:rsidR="00A34674" w:rsidRPr="00320DC8" w:rsidRDefault="00A34674" w:rsidP="00165A69">
      <w:pPr>
        <w:rPr>
          <w:i/>
          <w:sz w:val="20"/>
        </w:rPr>
      </w:pPr>
    </w:p>
    <w:sectPr w:rsidR="00A34674" w:rsidRPr="00320DC8"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16D" w:rsidRDefault="00E2616D" w:rsidP="002F4E7A">
      <w:pPr>
        <w:spacing w:after="0" w:line="240" w:lineRule="auto"/>
      </w:pPr>
      <w:r>
        <w:separator/>
      </w:r>
    </w:p>
  </w:endnote>
  <w:endnote w:type="continuationSeparator" w:id="0">
    <w:p w:rsidR="00E2616D" w:rsidRDefault="00E2616D"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16D" w:rsidRDefault="00E2616D" w:rsidP="002F4E7A">
      <w:pPr>
        <w:spacing w:after="0" w:line="240" w:lineRule="auto"/>
      </w:pPr>
      <w:r>
        <w:separator/>
      </w:r>
    </w:p>
  </w:footnote>
  <w:footnote w:type="continuationSeparator" w:id="0">
    <w:p w:rsidR="00E2616D" w:rsidRDefault="00E2616D"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12D8"/>
    <w:rsid w:val="00003EED"/>
    <w:rsid w:val="00005938"/>
    <w:rsid w:val="00014413"/>
    <w:rsid w:val="0001493B"/>
    <w:rsid w:val="00014E69"/>
    <w:rsid w:val="00020641"/>
    <w:rsid w:val="00020D41"/>
    <w:rsid w:val="00024B8A"/>
    <w:rsid w:val="00026D21"/>
    <w:rsid w:val="00030CDC"/>
    <w:rsid w:val="000321D0"/>
    <w:rsid w:val="00033695"/>
    <w:rsid w:val="000362D0"/>
    <w:rsid w:val="00043A94"/>
    <w:rsid w:val="00051E69"/>
    <w:rsid w:val="00052927"/>
    <w:rsid w:val="00061B10"/>
    <w:rsid w:val="000632AF"/>
    <w:rsid w:val="0006337D"/>
    <w:rsid w:val="0006622A"/>
    <w:rsid w:val="00082FCB"/>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372"/>
    <w:rsid w:val="001616B6"/>
    <w:rsid w:val="0016539D"/>
    <w:rsid w:val="00165A69"/>
    <w:rsid w:val="00166CC4"/>
    <w:rsid w:val="00171685"/>
    <w:rsid w:val="001877F3"/>
    <w:rsid w:val="00194B00"/>
    <w:rsid w:val="0019672A"/>
    <w:rsid w:val="001A4D36"/>
    <w:rsid w:val="001A59CA"/>
    <w:rsid w:val="001B01DC"/>
    <w:rsid w:val="001B65B6"/>
    <w:rsid w:val="001B71EA"/>
    <w:rsid w:val="001C52BF"/>
    <w:rsid w:val="001C717A"/>
    <w:rsid w:val="00201F11"/>
    <w:rsid w:val="002067CB"/>
    <w:rsid w:val="002101FA"/>
    <w:rsid w:val="00213DB2"/>
    <w:rsid w:val="002166B5"/>
    <w:rsid w:val="0022303F"/>
    <w:rsid w:val="0023218A"/>
    <w:rsid w:val="002367D8"/>
    <w:rsid w:val="00237DB5"/>
    <w:rsid w:val="00242CAA"/>
    <w:rsid w:val="00243B06"/>
    <w:rsid w:val="00250503"/>
    <w:rsid w:val="00263E46"/>
    <w:rsid w:val="00272F94"/>
    <w:rsid w:val="00294067"/>
    <w:rsid w:val="002A55CE"/>
    <w:rsid w:val="002B1C7C"/>
    <w:rsid w:val="002B67B8"/>
    <w:rsid w:val="002C0935"/>
    <w:rsid w:val="002D1D5C"/>
    <w:rsid w:val="002D3E0B"/>
    <w:rsid w:val="002D5FF3"/>
    <w:rsid w:val="002D7D8B"/>
    <w:rsid w:val="002E3131"/>
    <w:rsid w:val="002E67C3"/>
    <w:rsid w:val="002F15FB"/>
    <w:rsid w:val="002F4E7A"/>
    <w:rsid w:val="00310003"/>
    <w:rsid w:val="003114DE"/>
    <w:rsid w:val="0031224D"/>
    <w:rsid w:val="003158CC"/>
    <w:rsid w:val="003162E8"/>
    <w:rsid w:val="003201DC"/>
    <w:rsid w:val="00320DC8"/>
    <w:rsid w:val="0032133C"/>
    <w:rsid w:val="00323C82"/>
    <w:rsid w:val="00324D56"/>
    <w:rsid w:val="00327369"/>
    <w:rsid w:val="0033146E"/>
    <w:rsid w:val="003365B6"/>
    <w:rsid w:val="00336AE1"/>
    <w:rsid w:val="003470D7"/>
    <w:rsid w:val="0035129C"/>
    <w:rsid w:val="00354E0A"/>
    <w:rsid w:val="00360A9E"/>
    <w:rsid w:val="00363894"/>
    <w:rsid w:val="00363896"/>
    <w:rsid w:val="00363DBB"/>
    <w:rsid w:val="00363FF0"/>
    <w:rsid w:val="003651C4"/>
    <w:rsid w:val="00367958"/>
    <w:rsid w:val="00380EA9"/>
    <w:rsid w:val="00396FFE"/>
    <w:rsid w:val="003A7F84"/>
    <w:rsid w:val="003B16CA"/>
    <w:rsid w:val="003B2577"/>
    <w:rsid w:val="003B6259"/>
    <w:rsid w:val="003C2A64"/>
    <w:rsid w:val="003C46C0"/>
    <w:rsid w:val="003C7307"/>
    <w:rsid w:val="003D64E5"/>
    <w:rsid w:val="003E2C73"/>
    <w:rsid w:val="003F2324"/>
    <w:rsid w:val="003F5E31"/>
    <w:rsid w:val="00421AC4"/>
    <w:rsid w:val="00426834"/>
    <w:rsid w:val="00426835"/>
    <w:rsid w:val="00427AA3"/>
    <w:rsid w:val="004313AD"/>
    <w:rsid w:val="00432688"/>
    <w:rsid w:val="0043450A"/>
    <w:rsid w:val="004423D9"/>
    <w:rsid w:val="0044508A"/>
    <w:rsid w:val="00455DCF"/>
    <w:rsid w:val="00461E15"/>
    <w:rsid w:val="00462AD6"/>
    <w:rsid w:val="00462CD3"/>
    <w:rsid w:val="00464437"/>
    <w:rsid w:val="004655F5"/>
    <w:rsid w:val="00465CD7"/>
    <w:rsid w:val="0046652D"/>
    <w:rsid w:val="00467DC2"/>
    <w:rsid w:val="00467E28"/>
    <w:rsid w:val="00480DDF"/>
    <w:rsid w:val="0048380B"/>
    <w:rsid w:val="00486670"/>
    <w:rsid w:val="0048667C"/>
    <w:rsid w:val="00490A19"/>
    <w:rsid w:val="00490E75"/>
    <w:rsid w:val="004B1C13"/>
    <w:rsid w:val="004B2EB2"/>
    <w:rsid w:val="004C13FD"/>
    <w:rsid w:val="004F1FDE"/>
    <w:rsid w:val="004F44C7"/>
    <w:rsid w:val="004F530D"/>
    <w:rsid w:val="004F69DC"/>
    <w:rsid w:val="004F6E25"/>
    <w:rsid w:val="00502227"/>
    <w:rsid w:val="00504EAD"/>
    <w:rsid w:val="00505B57"/>
    <w:rsid w:val="00517AD1"/>
    <w:rsid w:val="00521A3A"/>
    <w:rsid w:val="00523D36"/>
    <w:rsid w:val="0052470A"/>
    <w:rsid w:val="00530669"/>
    <w:rsid w:val="00532DDA"/>
    <w:rsid w:val="00533893"/>
    <w:rsid w:val="00536DA9"/>
    <w:rsid w:val="00540990"/>
    <w:rsid w:val="00546270"/>
    <w:rsid w:val="0055099F"/>
    <w:rsid w:val="00552121"/>
    <w:rsid w:val="0055692A"/>
    <w:rsid w:val="00560D93"/>
    <w:rsid w:val="00563962"/>
    <w:rsid w:val="00566D19"/>
    <w:rsid w:val="00566DE1"/>
    <w:rsid w:val="00570E3D"/>
    <w:rsid w:val="00574ACB"/>
    <w:rsid w:val="00587DDB"/>
    <w:rsid w:val="0059121F"/>
    <w:rsid w:val="005A4CBD"/>
    <w:rsid w:val="005A7749"/>
    <w:rsid w:val="005B2B86"/>
    <w:rsid w:val="005B494F"/>
    <w:rsid w:val="005D111E"/>
    <w:rsid w:val="005D5106"/>
    <w:rsid w:val="005D6B09"/>
    <w:rsid w:val="005E5647"/>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A16"/>
    <w:rsid w:val="006B68E0"/>
    <w:rsid w:val="006B7CDA"/>
    <w:rsid w:val="006C1583"/>
    <w:rsid w:val="006C5ADC"/>
    <w:rsid w:val="006D290F"/>
    <w:rsid w:val="006E00B1"/>
    <w:rsid w:val="006E338E"/>
    <w:rsid w:val="006E65E5"/>
    <w:rsid w:val="006F46CC"/>
    <w:rsid w:val="006F61F1"/>
    <w:rsid w:val="006F7207"/>
    <w:rsid w:val="006F774E"/>
    <w:rsid w:val="0070159A"/>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3AC"/>
    <w:rsid w:val="00760532"/>
    <w:rsid w:val="007623AC"/>
    <w:rsid w:val="00764287"/>
    <w:rsid w:val="00766290"/>
    <w:rsid w:val="007663EE"/>
    <w:rsid w:val="00783264"/>
    <w:rsid w:val="0078651D"/>
    <w:rsid w:val="00790913"/>
    <w:rsid w:val="007909BA"/>
    <w:rsid w:val="00792418"/>
    <w:rsid w:val="00794CF0"/>
    <w:rsid w:val="007968AA"/>
    <w:rsid w:val="007A0C67"/>
    <w:rsid w:val="007A1A0C"/>
    <w:rsid w:val="007A2E7B"/>
    <w:rsid w:val="007A545A"/>
    <w:rsid w:val="007A69B9"/>
    <w:rsid w:val="007C3B5E"/>
    <w:rsid w:val="007C748C"/>
    <w:rsid w:val="007D332C"/>
    <w:rsid w:val="007D3462"/>
    <w:rsid w:val="007D40FF"/>
    <w:rsid w:val="007E3705"/>
    <w:rsid w:val="00810739"/>
    <w:rsid w:val="008130B9"/>
    <w:rsid w:val="008169B7"/>
    <w:rsid w:val="00821557"/>
    <w:rsid w:val="0082242F"/>
    <w:rsid w:val="00825A73"/>
    <w:rsid w:val="00826D64"/>
    <w:rsid w:val="00840743"/>
    <w:rsid w:val="008414E6"/>
    <w:rsid w:val="0084616E"/>
    <w:rsid w:val="00860F61"/>
    <w:rsid w:val="008630B2"/>
    <w:rsid w:val="008633A2"/>
    <w:rsid w:val="00863502"/>
    <w:rsid w:val="008701AE"/>
    <w:rsid w:val="00871304"/>
    <w:rsid w:val="00872148"/>
    <w:rsid w:val="00874512"/>
    <w:rsid w:val="00876250"/>
    <w:rsid w:val="00877695"/>
    <w:rsid w:val="00887846"/>
    <w:rsid w:val="00887B5B"/>
    <w:rsid w:val="0089219A"/>
    <w:rsid w:val="0089494C"/>
    <w:rsid w:val="00897C53"/>
    <w:rsid w:val="008A0383"/>
    <w:rsid w:val="008A0479"/>
    <w:rsid w:val="008B3E55"/>
    <w:rsid w:val="008B3F01"/>
    <w:rsid w:val="008B4C56"/>
    <w:rsid w:val="008B7652"/>
    <w:rsid w:val="008C1A2D"/>
    <w:rsid w:val="008D198C"/>
    <w:rsid w:val="008D4C6A"/>
    <w:rsid w:val="008D4D4F"/>
    <w:rsid w:val="008D51CB"/>
    <w:rsid w:val="008E5285"/>
    <w:rsid w:val="008E6DFB"/>
    <w:rsid w:val="00901BAE"/>
    <w:rsid w:val="009114F6"/>
    <w:rsid w:val="00912CF1"/>
    <w:rsid w:val="00912CF2"/>
    <w:rsid w:val="009135CE"/>
    <w:rsid w:val="0091628E"/>
    <w:rsid w:val="00921210"/>
    <w:rsid w:val="009213FC"/>
    <w:rsid w:val="00921EA6"/>
    <w:rsid w:val="00924F9A"/>
    <w:rsid w:val="00925ADA"/>
    <w:rsid w:val="0094261E"/>
    <w:rsid w:val="00942D54"/>
    <w:rsid w:val="00946B4B"/>
    <w:rsid w:val="00947FD4"/>
    <w:rsid w:val="00965EAC"/>
    <w:rsid w:val="00972BC6"/>
    <w:rsid w:val="0097400A"/>
    <w:rsid w:val="00974F89"/>
    <w:rsid w:val="009819A4"/>
    <w:rsid w:val="00981B0E"/>
    <w:rsid w:val="00985E8E"/>
    <w:rsid w:val="009862FF"/>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5AE"/>
    <w:rsid w:val="00A34674"/>
    <w:rsid w:val="00A42224"/>
    <w:rsid w:val="00A4515B"/>
    <w:rsid w:val="00A56564"/>
    <w:rsid w:val="00A6090C"/>
    <w:rsid w:val="00A63FE6"/>
    <w:rsid w:val="00A75C22"/>
    <w:rsid w:val="00A80369"/>
    <w:rsid w:val="00A82635"/>
    <w:rsid w:val="00A83895"/>
    <w:rsid w:val="00A84430"/>
    <w:rsid w:val="00A920CB"/>
    <w:rsid w:val="00A95EFB"/>
    <w:rsid w:val="00A97E25"/>
    <w:rsid w:val="00AA26EC"/>
    <w:rsid w:val="00AA6E50"/>
    <w:rsid w:val="00AB172F"/>
    <w:rsid w:val="00AB1775"/>
    <w:rsid w:val="00AB4195"/>
    <w:rsid w:val="00AB5421"/>
    <w:rsid w:val="00AD030A"/>
    <w:rsid w:val="00AD5E96"/>
    <w:rsid w:val="00AD7CEB"/>
    <w:rsid w:val="00AE12D2"/>
    <w:rsid w:val="00AE2409"/>
    <w:rsid w:val="00AE386F"/>
    <w:rsid w:val="00AF4078"/>
    <w:rsid w:val="00B00928"/>
    <w:rsid w:val="00B06DB7"/>
    <w:rsid w:val="00B07C94"/>
    <w:rsid w:val="00B208A8"/>
    <w:rsid w:val="00B20C70"/>
    <w:rsid w:val="00B22274"/>
    <w:rsid w:val="00B34121"/>
    <w:rsid w:val="00B34B10"/>
    <w:rsid w:val="00B47A40"/>
    <w:rsid w:val="00B47F6F"/>
    <w:rsid w:val="00B63E13"/>
    <w:rsid w:val="00B65931"/>
    <w:rsid w:val="00B737C8"/>
    <w:rsid w:val="00B75607"/>
    <w:rsid w:val="00B76FED"/>
    <w:rsid w:val="00B83381"/>
    <w:rsid w:val="00B84ECF"/>
    <w:rsid w:val="00B9141B"/>
    <w:rsid w:val="00B93865"/>
    <w:rsid w:val="00B94F80"/>
    <w:rsid w:val="00B9683F"/>
    <w:rsid w:val="00BA075F"/>
    <w:rsid w:val="00BA1888"/>
    <w:rsid w:val="00BB2B87"/>
    <w:rsid w:val="00BC156B"/>
    <w:rsid w:val="00BD16EE"/>
    <w:rsid w:val="00BD2227"/>
    <w:rsid w:val="00BD36D0"/>
    <w:rsid w:val="00BD3B8C"/>
    <w:rsid w:val="00BE07E3"/>
    <w:rsid w:val="00BE2017"/>
    <w:rsid w:val="00BE4324"/>
    <w:rsid w:val="00BE4498"/>
    <w:rsid w:val="00BE62F3"/>
    <w:rsid w:val="00BE71C6"/>
    <w:rsid w:val="00BF51A2"/>
    <w:rsid w:val="00BF6A35"/>
    <w:rsid w:val="00BF6CE1"/>
    <w:rsid w:val="00BF747F"/>
    <w:rsid w:val="00C00D58"/>
    <w:rsid w:val="00C01DD6"/>
    <w:rsid w:val="00C037DD"/>
    <w:rsid w:val="00C12730"/>
    <w:rsid w:val="00C12D08"/>
    <w:rsid w:val="00C14410"/>
    <w:rsid w:val="00C14808"/>
    <w:rsid w:val="00C16AE2"/>
    <w:rsid w:val="00C21EC0"/>
    <w:rsid w:val="00C22EC7"/>
    <w:rsid w:val="00C268AA"/>
    <w:rsid w:val="00C279BC"/>
    <w:rsid w:val="00C32A70"/>
    <w:rsid w:val="00C345EF"/>
    <w:rsid w:val="00C37FD5"/>
    <w:rsid w:val="00C40DB3"/>
    <w:rsid w:val="00C41097"/>
    <w:rsid w:val="00C41460"/>
    <w:rsid w:val="00C4536D"/>
    <w:rsid w:val="00C46EBB"/>
    <w:rsid w:val="00C539CF"/>
    <w:rsid w:val="00C60ED0"/>
    <w:rsid w:val="00C62F84"/>
    <w:rsid w:val="00C63A1B"/>
    <w:rsid w:val="00C64BC3"/>
    <w:rsid w:val="00C673C5"/>
    <w:rsid w:val="00C708AC"/>
    <w:rsid w:val="00C86072"/>
    <w:rsid w:val="00C8617B"/>
    <w:rsid w:val="00C86D28"/>
    <w:rsid w:val="00C87773"/>
    <w:rsid w:val="00C951CB"/>
    <w:rsid w:val="00CA263B"/>
    <w:rsid w:val="00CA65C1"/>
    <w:rsid w:val="00CA7EE5"/>
    <w:rsid w:val="00CB1A4F"/>
    <w:rsid w:val="00CB397E"/>
    <w:rsid w:val="00CB45D0"/>
    <w:rsid w:val="00CB6FD1"/>
    <w:rsid w:val="00CC5DA9"/>
    <w:rsid w:val="00CD357F"/>
    <w:rsid w:val="00CD7A60"/>
    <w:rsid w:val="00CE1903"/>
    <w:rsid w:val="00CE2C46"/>
    <w:rsid w:val="00CF0247"/>
    <w:rsid w:val="00CF30BC"/>
    <w:rsid w:val="00CF41CE"/>
    <w:rsid w:val="00CF474D"/>
    <w:rsid w:val="00CF67E8"/>
    <w:rsid w:val="00CF6B71"/>
    <w:rsid w:val="00D0559D"/>
    <w:rsid w:val="00D127F2"/>
    <w:rsid w:val="00D20644"/>
    <w:rsid w:val="00D30FB5"/>
    <w:rsid w:val="00D3240B"/>
    <w:rsid w:val="00D37454"/>
    <w:rsid w:val="00D374E1"/>
    <w:rsid w:val="00D467AC"/>
    <w:rsid w:val="00D60652"/>
    <w:rsid w:val="00D625A6"/>
    <w:rsid w:val="00D629B7"/>
    <w:rsid w:val="00D720BE"/>
    <w:rsid w:val="00D91B07"/>
    <w:rsid w:val="00D92752"/>
    <w:rsid w:val="00D960C7"/>
    <w:rsid w:val="00D9643E"/>
    <w:rsid w:val="00DB2CE0"/>
    <w:rsid w:val="00DD3788"/>
    <w:rsid w:val="00DF4864"/>
    <w:rsid w:val="00DF56C6"/>
    <w:rsid w:val="00E014C0"/>
    <w:rsid w:val="00E07739"/>
    <w:rsid w:val="00E1361F"/>
    <w:rsid w:val="00E1768E"/>
    <w:rsid w:val="00E2297B"/>
    <w:rsid w:val="00E229C5"/>
    <w:rsid w:val="00E2616D"/>
    <w:rsid w:val="00E46364"/>
    <w:rsid w:val="00E46C79"/>
    <w:rsid w:val="00E50E5B"/>
    <w:rsid w:val="00E55D4D"/>
    <w:rsid w:val="00E57902"/>
    <w:rsid w:val="00E6124B"/>
    <w:rsid w:val="00E623E4"/>
    <w:rsid w:val="00E63AB7"/>
    <w:rsid w:val="00E6521E"/>
    <w:rsid w:val="00E765A9"/>
    <w:rsid w:val="00E76AF0"/>
    <w:rsid w:val="00E801A7"/>
    <w:rsid w:val="00E81A16"/>
    <w:rsid w:val="00E8576D"/>
    <w:rsid w:val="00E85A97"/>
    <w:rsid w:val="00E966D7"/>
    <w:rsid w:val="00EA1079"/>
    <w:rsid w:val="00EA6252"/>
    <w:rsid w:val="00EB49C3"/>
    <w:rsid w:val="00EB6D16"/>
    <w:rsid w:val="00EC127B"/>
    <w:rsid w:val="00EC2CC9"/>
    <w:rsid w:val="00EC3827"/>
    <w:rsid w:val="00ED413D"/>
    <w:rsid w:val="00ED61B4"/>
    <w:rsid w:val="00EE1207"/>
    <w:rsid w:val="00EE32DA"/>
    <w:rsid w:val="00EE60CD"/>
    <w:rsid w:val="00F03186"/>
    <w:rsid w:val="00F106E5"/>
    <w:rsid w:val="00F13DF8"/>
    <w:rsid w:val="00F14040"/>
    <w:rsid w:val="00F1481B"/>
    <w:rsid w:val="00F14B2C"/>
    <w:rsid w:val="00F1675B"/>
    <w:rsid w:val="00F257C2"/>
    <w:rsid w:val="00F309E7"/>
    <w:rsid w:val="00F32E6E"/>
    <w:rsid w:val="00F34365"/>
    <w:rsid w:val="00F35A47"/>
    <w:rsid w:val="00F42F43"/>
    <w:rsid w:val="00F438F8"/>
    <w:rsid w:val="00F453F6"/>
    <w:rsid w:val="00F4684D"/>
    <w:rsid w:val="00F522B7"/>
    <w:rsid w:val="00F53170"/>
    <w:rsid w:val="00F569FD"/>
    <w:rsid w:val="00F56BC5"/>
    <w:rsid w:val="00F65E8D"/>
    <w:rsid w:val="00F67B5B"/>
    <w:rsid w:val="00F67DFD"/>
    <w:rsid w:val="00F71315"/>
    <w:rsid w:val="00F716CF"/>
    <w:rsid w:val="00F73BA2"/>
    <w:rsid w:val="00F74B24"/>
    <w:rsid w:val="00F769B4"/>
    <w:rsid w:val="00F81466"/>
    <w:rsid w:val="00F831C6"/>
    <w:rsid w:val="00F83984"/>
    <w:rsid w:val="00F865F2"/>
    <w:rsid w:val="00F91B75"/>
    <w:rsid w:val="00FA4C9C"/>
    <w:rsid w:val="00FA5653"/>
    <w:rsid w:val="00FB0382"/>
    <w:rsid w:val="00FB20A7"/>
    <w:rsid w:val="00FB373A"/>
    <w:rsid w:val="00FB7BAE"/>
    <w:rsid w:val="00FC0674"/>
    <w:rsid w:val="00FC29F8"/>
    <w:rsid w:val="00FC499D"/>
    <w:rsid w:val="00FC6210"/>
    <w:rsid w:val="00FD0FC3"/>
    <w:rsid w:val="00FD5BB6"/>
    <w:rsid w:val="00FD6C78"/>
    <w:rsid w:val="00FE2B56"/>
    <w:rsid w:val="00FE3C2D"/>
    <w:rsid w:val="00FE7C17"/>
    <w:rsid w:val="00FF199B"/>
    <w:rsid w:val="00FF61EF"/>
    <w:rsid w:val="00FF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BA699"/>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737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2E7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E7B"/>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B737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15430655">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0396537">
      <w:bodyDiv w:val="1"/>
      <w:marLeft w:val="0"/>
      <w:marRight w:val="0"/>
      <w:marTop w:val="0"/>
      <w:marBottom w:val="0"/>
      <w:divBdr>
        <w:top w:val="none" w:sz="0" w:space="0" w:color="auto"/>
        <w:left w:val="none" w:sz="0" w:space="0" w:color="auto"/>
        <w:bottom w:val="none" w:sz="0" w:space="0" w:color="auto"/>
        <w:right w:val="none" w:sz="0" w:space="0" w:color="auto"/>
      </w:divBdr>
    </w:div>
    <w:div w:id="71247031">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640981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2699588">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05680933">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48778355">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76915913">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5137332">
      <w:bodyDiv w:val="1"/>
      <w:marLeft w:val="0"/>
      <w:marRight w:val="0"/>
      <w:marTop w:val="0"/>
      <w:marBottom w:val="0"/>
      <w:divBdr>
        <w:top w:val="none" w:sz="0" w:space="0" w:color="auto"/>
        <w:left w:val="none" w:sz="0" w:space="0" w:color="auto"/>
        <w:bottom w:val="none" w:sz="0" w:space="0" w:color="auto"/>
        <w:right w:val="none" w:sz="0" w:space="0" w:color="auto"/>
      </w:divBdr>
    </w:div>
    <w:div w:id="29748953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33145622">
      <w:bodyDiv w:val="1"/>
      <w:marLeft w:val="0"/>
      <w:marRight w:val="0"/>
      <w:marTop w:val="0"/>
      <w:marBottom w:val="0"/>
      <w:divBdr>
        <w:top w:val="none" w:sz="0" w:space="0" w:color="auto"/>
        <w:left w:val="none" w:sz="0" w:space="0" w:color="auto"/>
        <w:bottom w:val="none" w:sz="0" w:space="0" w:color="auto"/>
        <w:right w:val="none" w:sz="0" w:space="0" w:color="auto"/>
      </w:divBdr>
    </w:div>
    <w:div w:id="341394890">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5444542">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73313827">
      <w:bodyDiv w:val="1"/>
      <w:marLeft w:val="0"/>
      <w:marRight w:val="0"/>
      <w:marTop w:val="0"/>
      <w:marBottom w:val="0"/>
      <w:divBdr>
        <w:top w:val="none" w:sz="0" w:space="0" w:color="auto"/>
        <w:left w:val="none" w:sz="0" w:space="0" w:color="auto"/>
        <w:bottom w:val="none" w:sz="0" w:space="0" w:color="auto"/>
        <w:right w:val="none" w:sz="0" w:space="0" w:color="auto"/>
      </w:divBdr>
    </w:div>
    <w:div w:id="374542986">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050006">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499928761">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1527802">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597107011">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694766065">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0153206">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42021640">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2231336">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39583353">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48563454">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887451124">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36792616">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991249700">
      <w:bodyDiv w:val="1"/>
      <w:marLeft w:val="0"/>
      <w:marRight w:val="0"/>
      <w:marTop w:val="0"/>
      <w:marBottom w:val="0"/>
      <w:divBdr>
        <w:top w:val="none" w:sz="0" w:space="0" w:color="auto"/>
        <w:left w:val="none" w:sz="0" w:space="0" w:color="auto"/>
        <w:bottom w:val="none" w:sz="0" w:space="0" w:color="auto"/>
        <w:right w:val="none" w:sz="0" w:space="0" w:color="auto"/>
      </w:divBdr>
    </w:div>
    <w:div w:id="995887091">
      <w:bodyDiv w:val="1"/>
      <w:marLeft w:val="0"/>
      <w:marRight w:val="0"/>
      <w:marTop w:val="0"/>
      <w:marBottom w:val="0"/>
      <w:divBdr>
        <w:top w:val="none" w:sz="0" w:space="0" w:color="auto"/>
        <w:left w:val="none" w:sz="0" w:space="0" w:color="auto"/>
        <w:bottom w:val="none" w:sz="0" w:space="0" w:color="auto"/>
        <w:right w:val="none" w:sz="0" w:space="0" w:color="auto"/>
      </w:divBdr>
    </w:div>
    <w:div w:id="1009720061">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54105440">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68714742">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2035193">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67621467">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74703492">
      <w:bodyDiv w:val="1"/>
      <w:marLeft w:val="0"/>
      <w:marRight w:val="0"/>
      <w:marTop w:val="0"/>
      <w:marBottom w:val="0"/>
      <w:divBdr>
        <w:top w:val="none" w:sz="0" w:space="0" w:color="auto"/>
        <w:left w:val="none" w:sz="0" w:space="0" w:color="auto"/>
        <w:bottom w:val="none" w:sz="0" w:space="0" w:color="auto"/>
        <w:right w:val="none" w:sz="0" w:space="0" w:color="auto"/>
      </w:divBdr>
    </w:div>
    <w:div w:id="1276445036">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81570863">
      <w:bodyDiv w:val="1"/>
      <w:marLeft w:val="0"/>
      <w:marRight w:val="0"/>
      <w:marTop w:val="0"/>
      <w:marBottom w:val="0"/>
      <w:divBdr>
        <w:top w:val="none" w:sz="0" w:space="0" w:color="auto"/>
        <w:left w:val="none" w:sz="0" w:space="0" w:color="auto"/>
        <w:bottom w:val="none" w:sz="0" w:space="0" w:color="auto"/>
        <w:right w:val="none" w:sz="0" w:space="0" w:color="auto"/>
      </w:divBdr>
    </w:div>
    <w:div w:id="1286230532">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5256359">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89578850">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18759963">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39873431">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4162273">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3025061">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1123674">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6043396">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25872398">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0454603">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01611674">
      <w:bodyDiv w:val="1"/>
      <w:marLeft w:val="0"/>
      <w:marRight w:val="0"/>
      <w:marTop w:val="0"/>
      <w:marBottom w:val="0"/>
      <w:divBdr>
        <w:top w:val="none" w:sz="0" w:space="0" w:color="auto"/>
        <w:left w:val="none" w:sz="0" w:space="0" w:color="auto"/>
        <w:bottom w:val="none" w:sz="0" w:space="0" w:color="auto"/>
        <w:right w:val="none" w:sz="0" w:space="0" w:color="auto"/>
      </w:divBdr>
    </w:div>
    <w:div w:id="2006862277">
      <w:bodyDiv w:val="1"/>
      <w:marLeft w:val="0"/>
      <w:marRight w:val="0"/>
      <w:marTop w:val="0"/>
      <w:marBottom w:val="0"/>
      <w:divBdr>
        <w:top w:val="none" w:sz="0" w:space="0" w:color="auto"/>
        <w:left w:val="none" w:sz="0" w:space="0" w:color="auto"/>
        <w:bottom w:val="none" w:sz="0" w:space="0" w:color="auto"/>
        <w:right w:val="none" w:sz="0" w:space="0" w:color="auto"/>
      </w:divBdr>
    </w:div>
    <w:div w:id="2010018387">
      <w:bodyDiv w:val="1"/>
      <w:marLeft w:val="0"/>
      <w:marRight w:val="0"/>
      <w:marTop w:val="0"/>
      <w:marBottom w:val="0"/>
      <w:divBdr>
        <w:top w:val="none" w:sz="0" w:space="0" w:color="auto"/>
        <w:left w:val="none" w:sz="0" w:space="0" w:color="auto"/>
        <w:bottom w:val="none" w:sz="0" w:space="0" w:color="auto"/>
        <w:right w:val="none" w:sz="0" w:space="0" w:color="auto"/>
      </w:divBdr>
    </w:div>
    <w:div w:id="2011055524">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0767470">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099476585">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hi4557510172@st.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
    <b:Tag>Hyl19</b:Tag>
    <b:SourceType>Book</b:SourceType>
    <b:Guid>{2CC0F3F4-A6F8-4B9D-A192-F6B5B90C14DF}</b:Guid>
    <b:Title>Second language writing</b:Title>
    <b:Year>2019</b:Year>
    <b:Author>
      <b:Author>
        <b:NameList>
          <b:Person>
            <b:Last>Hyland</b:Last>
            <b:First>K.</b:First>
          </b:Person>
        </b:NameList>
      </b:Author>
    </b:Author>
    <b:Publisher>Cambridge University Press</b:Publisher>
    <b:Edition>2</b:Edition>
    <b:RefOrder>21</b:RefOrder>
  </b:Source>
  <b:Source>
    <b:Tag>Placeholder1</b:Tag>
    <b:SourceType>Book</b:SourceType>
    <b:Guid>{BFF4D21D-2D0C-4237-9F44-0A2B2A0D6AD3}</b:Guid>
    <b:Author>
      <b:Author>
        <b:NameList>
          <b:Person>
            <b:Last>Crystal</b:Last>
            <b:First>D.</b:First>
          </b:Person>
        </b:NameList>
      </b:Author>
    </b:Author>
    <b:Title>English as a global language</b:Title>
    <b:Year>2003</b:Year>
    <b:Publisher>Cambridge University Press</b:Publisher>
    <b:Edition>2</b:Edition>
    <b:RefOrder>22</b:RefOrder>
  </b:Source>
  <b:Source>
    <b:Tag>Har07</b:Tag>
    <b:SourceType>Book</b:SourceType>
    <b:Guid>{6907A3EE-88EC-4A56-AE0C-24161C46A770}</b:Guid>
    <b:Author>
      <b:Author>
        <b:NameList>
          <b:Person>
            <b:Last>Harmer</b:Last>
            <b:First>J.</b:First>
          </b:Person>
        </b:NameList>
      </b:Author>
    </b:Author>
    <b:Title>The practice of English language teaching</b:Title>
    <b:Year>2007</b:Year>
    <b:Publisher>Pearson Longman</b:Publisher>
    <b:Edition>4</b:Edition>
    <b:RefOrder>23</b:RefOrder>
  </b:Source>
  <b:Source>
    <b:Tag>Lit07</b:Tag>
    <b:SourceType>JournalArticle</b:SourceType>
    <b:Guid>{4395A407-617F-4D5B-BE8A-90766848F9B2}</b:Guid>
    <b:Title>Language learner autonomy: Some fundamental considerations revisited</b:Title>
    <b:Year>2007</b:Year>
    <b:Author>
      <b:Author>
        <b:NameList>
          <b:Person>
            <b:Last>Little</b:Last>
            <b:First>D.</b:First>
          </b:Person>
        </b:NameList>
      </b:Author>
    </b:Author>
    <b:JournalName>Innovation in Language Learning and Teaching</b:JournalName>
    <b:Pages>14–29</b:Pages>
    <b:Volume>1</b:Volume>
    <b:Issue>1</b:Issue>
    <b:RefOrder>24</b:RefOrder>
  </b:Source>
  <b:Source>
    <b:Tag>Dör01</b:Tag>
    <b:SourceType>Book</b:SourceType>
    <b:Guid>{8525DDB0-F859-486E-850E-0F657CF282E6}</b:Guid>
    <b:Title>Motivational strategies in the language classroom</b:Title>
    <b:Year>2001</b:Year>
    <b:Author>
      <b:Author>
        <b:NameList>
          <b:Person>
            <b:Last>Dörnyei</b:Last>
            <b:First>Z.</b:First>
          </b:Person>
        </b:NameList>
      </b:Author>
    </b:Author>
    <b:Publisher>Cambridge University Press</b:Publisher>
    <b:RefOrder>25</b:RefOrder>
  </b:Source>
  <b:Source>
    <b:Tag>Bit10</b:Tag>
    <b:SourceType>JournalArticle</b:SourceType>
    <b:Guid>{C92F3060-7551-4BF0-9FC0-89B270D01C10}</b:Guid>
    <b:Title>The contribution of written corrective feedback to language development: A ten-month investigation</b:Title>
    <b:Year>2010</b:Year>
    <b:Author>
      <b:Author>
        <b:NameList>
          <b:Person>
            <b:Last>Bitchener</b:Last>
            <b:First>J.</b:First>
          </b:Person>
          <b:Person>
            <b:Last>Knoch</b:Last>
            <b:First>U.</b:First>
          </b:Person>
        </b:NameList>
      </b:Author>
    </b:Author>
    <b:JournalName>Applied Linguistics</b:JournalName>
    <b:Pages>193–214</b:Pages>
    <b:Volume>31</b:Volume>
    <b:Issue>2</b:Issue>
    <b:RefOrder>26</b:RefOrder>
  </b:Source>
  <b:Source>
    <b:Tag>Fer06</b:Tag>
    <b:SourceType>BookSection</b:SourceType>
    <b:Guid>{85073556-E4E7-43AF-90C9-BA9F427E4229}</b:Guid>
    <b:Title>Does error feedback help student writers? New evidence on the short- and long-term effects of written error correction</b:Title>
    <b:Year>2006</b:Year>
    <b:Pages>81–104</b:Pages>
    <b:Author>
      <b:Author>
        <b:NameList>
          <b:Person>
            <b:Last>Ferris</b:Last>
            <b:First>D.</b:First>
            <b:Middle>R.</b:Middle>
          </b:Person>
        </b:NameList>
      </b:Author>
      <b:BookAuthor>
        <b:NameList>
          <b:Person>
            <b:Last>Hyland</b:Last>
            <b:First>K.</b:First>
          </b:Person>
          <b:Person>
            <b:Last>Hyland</b:Last>
            <b:First>F.</b:First>
          </b:Person>
        </b:NameList>
      </b:BookAuthor>
    </b:Author>
    <b:BookTitle>Feedback in second language writing: Contexts and issues</b:BookTitle>
    <b:Publisher>Cambridge University Press</b:Publisher>
    <b:RefOrder>27</b:RefOrder>
  </b:Source>
  <b:Source>
    <b:Tag>Lee17</b:Tag>
    <b:SourceType>Book</b:SourceType>
    <b:Guid>{9E8A11B6-A783-4F0E-ABED-C51B0C106CBC}</b:Guid>
    <b:Title>Classroom writing assessment and feedback in L2 school contexts</b:Title>
    <b:Year>2017</b:Year>
    <b:Author>
      <b:Author>
        <b:NameList>
          <b:Person>
            <b:Last>Lee</b:Last>
            <b:First>I.</b:First>
          </b:Person>
        </b:NameList>
      </b:Author>
    </b:Author>
    <b:Publisher>Springer</b:Publisher>
    <b:RefOrder>28</b:RefOrder>
  </b:Source>
  <b:Source>
    <b:Tag>Fer11</b:Tag>
    <b:SourceType>Book</b:SourceType>
    <b:Guid>{0C6D0B42-6B56-4E3D-B180-B6CCB1859777}</b:Guid>
    <b:Author>
      <b:Author>
        <b:NameList>
          <b:Person>
            <b:Last>Ferris</b:Last>
            <b:First>D.</b:First>
            <b:Middle>R.</b:Middle>
          </b:Person>
        </b:NameList>
      </b:Author>
    </b:Author>
    <b:Title>Treatment of error in second language student writing</b:Title>
    <b:Year>2011</b:Year>
    <b:Publisher>University of Michigan Press</b:Publisher>
    <b:Edition>2</b:Edition>
    <b:RefOrder>29</b:RefOrder>
  </b:Source>
  <b:Source>
    <b:Tag>Kad21</b:Tag>
    <b:SourceType>JournalArticle</b:SourceType>
    <b:Guid>{F03D837B-3D5D-40DC-989E-C3470D026DEA}</b:Guid>
    <b:Title>Gender differences in Twitter complaints</b:Title>
    <b:Year>2021</b:Year>
    <b:Author>
      <b:Author>
        <b:NameList>
          <b:Person>
            <b:Last>Kadir</b:Last>
            <b:First>S.</b:First>
            <b:Middle>A.</b:Middle>
          </b:Person>
          <b:Person>
            <b:Last>Adnan</b:Last>
            <b:First>N.</b:First>
            <b:Middle>I.</b:Middle>
          </b:Person>
          <b:Person>
            <b:Last>Abdull</b:Last>
            <b:First>P.</b:First>
          </b:Person>
        </b:NameList>
      </b:Author>
    </b:Author>
    <b:JournalName>Journal of Humanities and Social Sciences</b:JournalName>
    <b:Pages>15–28</b:Pages>
    <b:Volume>3</b:Volume>
    <b:Issue>1</b:Issue>
    <b:RefOrder>30</b:RefOrder>
  </b:Source>
  <b:Source>
    <b:Tag>Ngu20</b:Tag>
    <b:SourceType>JournalArticle</b:SourceType>
    <b:Guid>{A9EF0219-859C-4343-B55D-4B3B2FE1A61E}</b:Guid>
    <b:Author>
      <b:Author>
        <b:NameList>
          <b:Person>
            <b:Last>Nguyen</b:Last>
            <b:First>T.</b:First>
            <b:Middle>M.</b:Middle>
          </b:Person>
        </b:NameList>
      </b:Author>
    </b:Author>
    <b:Title>Challenges in teaching academic writing to EFL students in Vietnamese universities</b:Title>
    <b:JournalName>Journal of Language and Life</b:JournalName>
    <b:Year>2020</b:Year>
    <b:Pages>45–58</b:Pages>
    <b:Volume>5</b:Volume>
    <b:Issue>2</b:Issue>
    <b:RefOrder>31</b:RefOrder>
  </b:Source>
  <b:Source>
    <b:Tag>Cre18</b:Tag>
    <b:SourceType>Book</b:SourceType>
    <b:Guid>{73E09218-CB26-4D3C-8CB8-DB01DE1E5A10}</b:Guid>
    <b:Title>Research design: Qualitative, quantitative, and mixed methods approaches</b:Title>
    <b:Year>2018</b:Year>
    <b:Author>
      <b:Author>
        <b:NameList>
          <b:Person>
            <b:Last>Creswell</b:Last>
            <b:First>J.</b:First>
            <b:Middle>W.</b:Middle>
          </b:Person>
          <b:Person>
            <b:Last>Creswell</b:Last>
            <b:First>J.</b:First>
            <b:Middle>D.</b:Middle>
          </b:Person>
        </b:NameList>
      </b:Author>
    </b:Author>
    <b:Publisher>SAGE Publications</b:Publisher>
    <b:Edition>5</b:Edition>
    <b:RefOrder>32</b:RefOrder>
  </b:Source>
  <b:Source>
    <b:Tag>Dör09</b:Tag>
    <b:SourceType>Book</b:SourceType>
    <b:Guid>{94534451-2C9E-45D8-BA31-0F105E4D7804}</b:Guid>
    <b:Author>
      <b:Author>
        <b:NameList>
          <b:Person>
            <b:Last>Dörnyei</b:Last>
            <b:First>Z.</b:First>
          </b:Person>
          <b:Person>
            <b:Last>Taguchi</b:Last>
            <b:First>T.</b:First>
          </b:Person>
        </b:NameList>
      </b:Author>
    </b:Author>
    <b:Title>Questionnaires in second language research: Construction, administration, and processing</b:Title>
    <b:Year>2009</b:Year>
    <b:Publisher>Routledge</b:Publisher>
    <b:Edition>2</b:Edition>
    <b:RefOrder>33</b:RefOrder>
  </b:Source>
  <b:Source>
    <b:Tag>Vau96</b:Tag>
    <b:SourceType>Book</b:SourceType>
    <b:Guid>{9FD420B3-8007-4ACC-82DC-78D5E8AF2423}</b:Guid>
    <b:Author>
      <b:Author>
        <b:NameList>
          <b:Person>
            <b:Last>Vaughn</b:Last>
            <b:First>S.</b:First>
          </b:Person>
          <b:Person>
            <b:Last>Schumm</b:Last>
            <b:First>J.</b:First>
            <b:Middle>S.</b:Middle>
          </b:Person>
          <b:Person>
            <b:Last>Sinagub</b:Last>
            <b:First>J.</b:First>
          </b:Person>
        </b:NameList>
      </b:Author>
    </b:Author>
    <b:Title>Focus group interviews in education and psychology</b:Title>
    <b:Year>1996</b:Year>
    <b:Publisher>SAGE Publications</b:Publisher>
    <b:RefOrder>34</b:RefOrder>
  </b:Source>
  <b:Source>
    <b:Tag>Hyl06</b:Tag>
    <b:SourceType>Book</b:SourceType>
    <b:Guid>{96D1104B-CB8F-4124-AF97-6CD7A9324655}</b:Guid>
    <b:Author>
      <b:Author>
        <b:NameList>
          <b:Person>
            <b:Last>Hyland</b:Last>
            <b:First>K.</b:First>
          </b:Person>
          <b:Person>
            <b:Last>Hyland</b:Last>
            <b:First>F.</b:First>
          </b:Person>
        </b:NameList>
      </b:Author>
    </b:Author>
    <b:Title>Feedback in second language writing: Contexts and issues</b:Title>
    <b:Year>2006</b:Year>
    <b:Publisher>Cambridge University Press</b:Publisher>
    <b:RefOrder>35</b:RefOrder>
  </b:Source>
  <b:Source>
    <b:Tag>Fer03</b:Tag>
    <b:SourceType>Book</b:SourceType>
    <b:Guid>{BD7E2C0F-723A-4901-AC2C-9ED49872223C}</b:Guid>
    <b:Author>
      <b:Author>
        <b:NameList>
          <b:Person>
            <b:Last>Ferris</b:Last>
            <b:First>D.</b:First>
            <b:Middle>R.</b:Middle>
          </b:Person>
        </b:NameList>
      </b:Author>
    </b:Author>
    <b:Title>Response to student writing: Implications for second language students</b:Title>
    <b:Year>2003</b:Year>
    <b:Publisher>Lawrence Erlbaum Associates</b:Publisher>
    <b:RefOrder>36</b:RefOrder>
  </b:Source>
  <b:Source>
    <b:Tag>Mor97</b:Tag>
    <b:SourceType>Book</b:SourceType>
    <b:Guid>{772DD1D1-2F53-4488-9AE4-78E14EAD7BC4}</b:Guid>
    <b:Author>
      <b:Author>
        <b:NameList>
          <b:Person>
            <b:Last>Morgan</b:Last>
            <b:First>D.</b:First>
            <b:Middle>L.</b:Middle>
          </b:Person>
        </b:NameList>
      </b:Author>
    </b:Author>
    <b:Title>Focus groups as qualitative research</b:Title>
    <b:Year>1997</b:Year>
    <b:Publisher>SAGE Publications</b:Publisher>
    <b:Edition>2</b:Edition>
    <b:RefOrder>37</b:RefOrder>
  </b:Source>
</b:Sources>
</file>

<file path=customXml/itemProps1.xml><?xml version="1.0" encoding="utf-8"?>
<ds:datastoreItem xmlns:ds="http://schemas.openxmlformats.org/officeDocument/2006/customXml" ds:itemID="{385A252F-4E8E-4069-BC5A-DAF5D0FE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4151</TotalTime>
  <Pages>15</Pages>
  <Words>6835</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76</cp:revision>
  <cp:lastPrinted>2025-04-08T11:40:00Z</cp:lastPrinted>
  <dcterms:created xsi:type="dcterms:W3CDTF">2025-03-29T03:56:00Z</dcterms:created>
  <dcterms:modified xsi:type="dcterms:W3CDTF">2026-03-15T06:59:00Z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