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02E8" w14:textId="77777777" w:rsidR="007C0957" w:rsidRPr="00AA2991" w:rsidRDefault="007C0957" w:rsidP="007C0957">
      <w:pPr>
        <w:rPr>
          <w:lang w:val="en-US" w:eastAsia="vi" w:bidi="en-US"/>
        </w:rPr>
      </w:pPr>
    </w:p>
    <w:p w14:paraId="016293FF" w14:textId="77777777" w:rsidR="0078682E" w:rsidRDefault="0078682E" w:rsidP="0078682E">
      <w:pPr>
        <w:rPr>
          <w:lang w:val="en-US" w:eastAsia="vi" w:bidi="en-US"/>
        </w:rPr>
      </w:pPr>
    </w:p>
    <w:p w14:paraId="2C712F5D" w14:textId="77777777" w:rsidR="0078682E" w:rsidRDefault="0078682E" w:rsidP="0078682E">
      <w:pPr>
        <w:rPr>
          <w:lang w:val="en-US" w:eastAsia="vi" w:bidi="en-US"/>
        </w:rPr>
      </w:pPr>
    </w:p>
    <w:p w14:paraId="65DF37A3" w14:textId="5066589E" w:rsidR="00B30812" w:rsidRPr="00D875A4" w:rsidRDefault="00A41967" w:rsidP="005E7788">
      <w:pPr>
        <w:tabs>
          <w:tab w:val="left" w:pos="734"/>
        </w:tabs>
        <w:jc w:val="center"/>
        <w:rPr>
          <w:rFonts w:ascii="Arial" w:hAnsi="Arial" w:cs="Arial"/>
          <w:b/>
          <w:sz w:val="32"/>
          <w:szCs w:val="32"/>
          <w:lang w:val="vi" w:eastAsia="vi" w:bidi="en-US"/>
        </w:rPr>
      </w:pPr>
      <w:r w:rsidRPr="00D875A4">
        <w:rPr>
          <w:rFonts w:ascii="Arial" w:hAnsi="Arial" w:cs="Arial"/>
          <w:b/>
          <w:sz w:val="32"/>
          <w:szCs w:val="32"/>
          <w:lang w:val="vi" w:eastAsia="vi" w:bidi="en-US"/>
        </w:rPr>
        <w:t xml:space="preserve">Ảnh hưởng của </w:t>
      </w:r>
      <w:r w:rsidRPr="00D875A4">
        <w:rPr>
          <w:rFonts w:ascii="Arial" w:hAnsi="Arial" w:cs="Arial"/>
          <w:b/>
          <w:sz w:val="32"/>
          <w:szCs w:val="32"/>
          <w:lang w:val="en-US" w:eastAsia="vi" w:bidi="en-US"/>
        </w:rPr>
        <w:t>đ</w:t>
      </w:r>
      <w:r w:rsidRPr="00D875A4">
        <w:rPr>
          <w:rFonts w:ascii="Arial" w:hAnsi="Arial" w:cs="Arial"/>
          <w:b/>
          <w:sz w:val="32"/>
          <w:szCs w:val="32"/>
          <w:lang w:val="vi" w:eastAsia="vi" w:bidi="en-US"/>
        </w:rPr>
        <w:t xml:space="preserve">òn bẩy </w:t>
      </w:r>
      <w:r w:rsidRPr="00D875A4">
        <w:rPr>
          <w:rFonts w:ascii="Arial" w:hAnsi="Arial" w:cs="Arial"/>
          <w:b/>
          <w:sz w:val="32"/>
          <w:szCs w:val="32"/>
          <w:lang w:val="en-US" w:eastAsia="vi" w:bidi="en-US"/>
        </w:rPr>
        <w:t>t</w:t>
      </w:r>
      <w:r w:rsidRPr="00D875A4">
        <w:rPr>
          <w:rFonts w:ascii="Arial" w:hAnsi="Arial" w:cs="Arial"/>
          <w:b/>
          <w:sz w:val="32"/>
          <w:szCs w:val="32"/>
          <w:lang w:val="vi" w:eastAsia="vi" w:bidi="en-US"/>
        </w:rPr>
        <w:t xml:space="preserve">ài chính đến </w:t>
      </w:r>
      <w:r w:rsidRPr="00D875A4">
        <w:rPr>
          <w:rFonts w:ascii="Arial" w:hAnsi="Arial" w:cs="Arial"/>
          <w:b/>
          <w:sz w:val="32"/>
          <w:szCs w:val="32"/>
          <w:lang w:val="en-US" w:eastAsia="vi" w:bidi="en-US"/>
        </w:rPr>
        <w:t>h</w:t>
      </w:r>
      <w:r w:rsidRPr="00D875A4">
        <w:rPr>
          <w:rFonts w:ascii="Arial" w:hAnsi="Arial" w:cs="Arial"/>
          <w:b/>
          <w:sz w:val="32"/>
          <w:szCs w:val="32"/>
          <w:lang w:val="vi" w:eastAsia="vi" w:bidi="en-US"/>
        </w:rPr>
        <w:t xml:space="preserve">iệu suất </w:t>
      </w:r>
      <w:r w:rsidRPr="00D875A4">
        <w:rPr>
          <w:rFonts w:ascii="Arial" w:hAnsi="Arial" w:cs="Arial"/>
          <w:b/>
          <w:sz w:val="32"/>
          <w:szCs w:val="32"/>
          <w:lang w:val="en-US" w:eastAsia="vi" w:bidi="en-US"/>
        </w:rPr>
        <w:t>d</w:t>
      </w:r>
      <w:r w:rsidRPr="00D875A4">
        <w:rPr>
          <w:rFonts w:ascii="Arial" w:hAnsi="Arial" w:cs="Arial"/>
          <w:b/>
          <w:sz w:val="32"/>
          <w:szCs w:val="32"/>
          <w:lang w:val="vi" w:eastAsia="vi" w:bidi="en-US"/>
        </w:rPr>
        <w:t xml:space="preserve">oanh nghiệp: Nghiên cứu từ các </w:t>
      </w:r>
      <w:r w:rsidRPr="00D875A4">
        <w:rPr>
          <w:rFonts w:ascii="Arial" w:hAnsi="Arial" w:cs="Arial"/>
          <w:b/>
          <w:sz w:val="32"/>
          <w:szCs w:val="32"/>
          <w:lang w:val="en-US" w:eastAsia="vi" w:bidi="en-US"/>
        </w:rPr>
        <w:t>c</w:t>
      </w:r>
      <w:r w:rsidRPr="00D875A4">
        <w:rPr>
          <w:rFonts w:ascii="Arial" w:hAnsi="Arial" w:cs="Arial"/>
          <w:b/>
          <w:sz w:val="32"/>
          <w:szCs w:val="32"/>
          <w:lang w:val="vi" w:eastAsia="vi" w:bidi="en-US"/>
        </w:rPr>
        <w:t xml:space="preserve">ông ty </w:t>
      </w:r>
      <w:r w:rsidRPr="00D875A4">
        <w:rPr>
          <w:rFonts w:ascii="Arial" w:hAnsi="Arial" w:cs="Arial"/>
          <w:b/>
          <w:sz w:val="32"/>
          <w:szCs w:val="32"/>
          <w:lang w:val="en-US" w:eastAsia="vi" w:bidi="en-US"/>
        </w:rPr>
        <w:t>n</w:t>
      </w:r>
      <w:r w:rsidRPr="00D875A4">
        <w:rPr>
          <w:rFonts w:ascii="Arial" w:hAnsi="Arial" w:cs="Arial"/>
          <w:b/>
          <w:sz w:val="32"/>
          <w:szCs w:val="32"/>
          <w:lang w:val="vi" w:eastAsia="vi" w:bidi="en-US"/>
        </w:rPr>
        <w:t>iêm yết t</w:t>
      </w:r>
      <w:r w:rsidRPr="00D875A4">
        <w:rPr>
          <w:rFonts w:ascii="Arial" w:hAnsi="Arial" w:cs="Arial"/>
          <w:b/>
          <w:sz w:val="32"/>
          <w:szCs w:val="32"/>
          <w:lang w:val="en-US" w:eastAsia="vi" w:bidi="en-US"/>
        </w:rPr>
        <w:t xml:space="preserve">ại </w:t>
      </w:r>
      <w:r w:rsidRPr="00D875A4">
        <w:rPr>
          <w:rFonts w:ascii="Arial" w:hAnsi="Arial" w:cs="Arial"/>
          <w:b/>
          <w:sz w:val="32"/>
          <w:szCs w:val="32"/>
          <w:lang w:val="vi" w:eastAsia="vi" w:bidi="en-US"/>
        </w:rPr>
        <w:t>Việt Nam</w:t>
      </w:r>
    </w:p>
    <w:p w14:paraId="3F66577C" w14:textId="77777777" w:rsidR="00B30812" w:rsidRPr="00D875A4" w:rsidRDefault="00B30812" w:rsidP="007C0957">
      <w:pPr>
        <w:rPr>
          <w:lang w:eastAsia="vi" w:bidi="en-US"/>
        </w:rPr>
      </w:pPr>
    </w:p>
    <w:p w14:paraId="2F7F770D" w14:textId="1AF6482A" w:rsidR="005D5DF5" w:rsidRPr="00D875A4" w:rsidRDefault="005D5DF5" w:rsidP="005E7788">
      <w:pPr>
        <w:jc w:val="center"/>
        <w:rPr>
          <w:b/>
          <w:bCs/>
          <w:szCs w:val="24"/>
          <w:vertAlign w:val="superscript"/>
          <w:lang w:val="en-US"/>
        </w:rPr>
      </w:pPr>
      <w:r w:rsidRPr="00D875A4">
        <w:rPr>
          <w:b/>
          <w:bCs/>
          <w:sz w:val="24"/>
          <w:szCs w:val="24"/>
          <w:lang w:val="en-US"/>
        </w:rPr>
        <w:t>Đặng Thị Mỹ Dung</w:t>
      </w:r>
      <w:r w:rsidRPr="00D875A4">
        <w:rPr>
          <w:b/>
          <w:bCs/>
          <w:sz w:val="24"/>
          <w:szCs w:val="24"/>
          <w:vertAlign w:val="superscript"/>
          <w:lang w:val="en-US"/>
        </w:rPr>
        <w:t>1</w:t>
      </w:r>
      <w:r w:rsidRPr="00D875A4">
        <w:rPr>
          <w:b/>
          <w:bCs/>
          <w:sz w:val="24"/>
          <w:szCs w:val="24"/>
          <w:lang w:val="en-US"/>
        </w:rPr>
        <w:t>, Nguyễn Thị Mỹ Hằng</w:t>
      </w:r>
      <w:r w:rsidRPr="00D875A4">
        <w:rPr>
          <w:b/>
          <w:bCs/>
          <w:sz w:val="24"/>
          <w:szCs w:val="24"/>
          <w:vertAlign w:val="superscript"/>
          <w:lang w:val="en-US"/>
        </w:rPr>
        <w:t>2</w:t>
      </w:r>
      <w:r w:rsidRPr="00D875A4">
        <w:rPr>
          <w:b/>
          <w:bCs/>
          <w:sz w:val="24"/>
          <w:szCs w:val="24"/>
        </w:rPr>
        <w:t xml:space="preserve">, </w:t>
      </w:r>
      <w:r w:rsidRPr="00D875A4">
        <w:rPr>
          <w:b/>
          <w:bCs/>
          <w:sz w:val="24"/>
          <w:szCs w:val="24"/>
          <w:lang w:val="en-US"/>
        </w:rPr>
        <w:t>Trần Như Quỳnh</w:t>
      </w:r>
      <w:r w:rsidRPr="00D875A4">
        <w:rPr>
          <w:b/>
          <w:bCs/>
          <w:sz w:val="24"/>
          <w:szCs w:val="24"/>
          <w:vertAlign w:val="superscript"/>
          <w:lang w:val="en-US"/>
        </w:rPr>
        <w:t>3</w:t>
      </w:r>
    </w:p>
    <w:p w14:paraId="062AEC3C" w14:textId="77777777" w:rsidR="007C0957" w:rsidRPr="00D875A4" w:rsidRDefault="007C0957" w:rsidP="0078682E">
      <w:pPr>
        <w:rPr>
          <w:vertAlign w:val="superscript"/>
          <w:lang w:val="en-US"/>
        </w:rPr>
      </w:pPr>
    </w:p>
    <w:p w14:paraId="50EA9B8B" w14:textId="03BFF591" w:rsidR="007D1A28" w:rsidRPr="00D875A4" w:rsidRDefault="007D1A28" w:rsidP="007C0957">
      <w:pPr>
        <w:jc w:val="center"/>
        <w:rPr>
          <w:i/>
          <w:iCs/>
          <w:lang w:val="en-US"/>
        </w:rPr>
      </w:pPr>
      <w:r w:rsidRPr="00D875A4">
        <w:rPr>
          <w:i/>
          <w:iCs/>
          <w:vertAlign w:val="superscript"/>
          <w:lang w:val="en-US"/>
        </w:rPr>
        <w:t>1</w:t>
      </w:r>
      <w:r w:rsidRPr="00D875A4">
        <w:rPr>
          <w:i/>
          <w:iCs/>
          <w:lang w:val="en-US"/>
        </w:rPr>
        <w:t>Đại học Ngoại Thương</w:t>
      </w:r>
      <w:r w:rsidRPr="00D875A4">
        <w:rPr>
          <w:i/>
          <w:iCs/>
        </w:rPr>
        <w:t xml:space="preserve"> – Vietnam</w:t>
      </w:r>
      <w:r w:rsidR="008F2279" w:rsidRPr="00D875A4">
        <w:rPr>
          <w:i/>
          <w:iCs/>
          <w:lang w:val="en-US"/>
        </w:rPr>
        <w:t xml:space="preserve"> &amp; Đại học Greater Manchester</w:t>
      </w:r>
      <w:r w:rsidR="008F2279" w:rsidRPr="00D875A4">
        <w:rPr>
          <w:i/>
          <w:iCs/>
        </w:rPr>
        <w:t xml:space="preserve"> – </w:t>
      </w:r>
      <w:r w:rsidR="008F2279" w:rsidRPr="00D875A4">
        <w:rPr>
          <w:i/>
          <w:iCs/>
          <w:lang w:val="en-US"/>
        </w:rPr>
        <w:t>Anh Quốc</w:t>
      </w:r>
      <w:r w:rsidRPr="00D875A4">
        <w:rPr>
          <w:i/>
          <w:iCs/>
          <w:lang w:val="en-US"/>
        </w:rPr>
        <w:br/>
      </w:r>
      <w:r w:rsidRPr="00D875A4">
        <w:rPr>
          <w:i/>
          <w:iCs/>
          <w:vertAlign w:val="superscript"/>
          <w:lang w:val="en-US"/>
        </w:rPr>
        <w:t>2,3</w:t>
      </w:r>
      <w:r w:rsidRPr="00D875A4">
        <w:rPr>
          <w:i/>
          <w:iCs/>
          <w:lang w:val="en-US"/>
        </w:rPr>
        <w:t xml:space="preserve"> Đại học Ngoại Thương</w:t>
      </w:r>
      <w:r w:rsidRPr="00D875A4">
        <w:rPr>
          <w:i/>
          <w:iCs/>
        </w:rPr>
        <w:t xml:space="preserve"> – Vietnam</w:t>
      </w:r>
    </w:p>
    <w:p w14:paraId="0C35F4EA" w14:textId="77777777" w:rsidR="007C0957" w:rsidRPr="00D875A4" w:rsidRDefault="007C0957" w:rsidP="0078682E">
      <w:pPr>
        <w:rPr>
          <w:lang w:val="en-US"/>
        </w:rPr>
      </w:pPr>
    </w:p>
    <w:p w14:paraId="7D4C2334" w14:textId="60CDFA39" w:rsidR="00B30812" w:rsidRDefault="00B30812" w:rsidP="007C0957">
      <w:pPr>
        <w:jc w:val="center"/>
        <w:rPr>
          <w:rStyle w:val="Hyperlink"/>
          <w:i/>
          <w:iCs/>
          <w:color w:val="auto"/>
          <w:lang w:val="en-US"/>
        </w:rPr>
      </w:pPr>
      <w:r w:rsidRPr="00D875A4">
        <w:rPr>
          <w:i/>
          <w:cs/>
          <w:lang w:val="vi" w:eastAsia="vi"/>
        </w:rPr>
        <w:t>*</w:t>
      </w:r>
      <w:r w:rsidRPr="00D875A4">
        <w:rPr>
          <w:i/>
          <w:lang w:eastAsia="vi" w:bidi="en-US"/>
        </w:rPr>
        <w:t>Tác giả liên hệ chính. Email</w:t>
      </w:r>
      <w:r w:rsidRPr="00D875A4">
        <w:rPr>
          <w:i/>
          <w:cs/>
          <w:lang w:val="vi" w:eastAsia="vi"/>
        </w:rPr>
        <w:t xml:space="preserve">: </w:t>
      </w:r>
      <w:hyperlink r:id="rId9" w:history="1">
        <w:r w:rsidR="00290229" w:rsidRPr="007D0E67">
          <w:rPr>
            <w:rStyle w:val="Hyperlink"/>
            <w:i/>
            <w:iCs/>
            <w:lang w:val="en-US"/>
          </w:rPr>
          <w:t>dangthimydung.hcmc@ftu.edu.vn</w:t>
        </w:r>
      </w:hyperlink>
      <w:r w:rsidR="008F2279" w:rsidRPr="00D875A4">
        <w:rPr>
          <w:rStyle w:val="Hyperlink"/>
          <w:i/>
          <w:iCs/>
          <w:color w:val="auto"/>
          <w:lang w:val="en-US"/>
        </w:rPr>
        <w:t xml:space="preserve">; </w:t>
      </w:r>
      <w:hyperlink r:id="rId10" w:history="1">
        <w:r w:rsidR="008F2279" w:rsidRPr="00D875A4">
          <w:rPr>
            <w:rStyle w:val="Hyperlink"/>
            <w:i/>
            <w:iCs/>
            <w:color w:val="auto"/>
            <w:lang w:val="en-US"/>
          </w:rPr>
          <w:t>dtd1ocd@bolton.ac.uk</w:t>
        </w:r>
      </w:hyperlink>
    </w:p>
    <w:p w14:paraId="590538F1" w14:textId="77777777" w:rsidR="00290229" w:rsidRPr="00D875A4" w:rsidRDefault="00290229" w:rsidP="007C0957">
      <w:pPr>
        <w:jc w:val="center"/>
        <w:rPr>
          <w:rStyle w:val="Hyperlink"/>
          <w:i/>
          <w:color w:val="auto"/>
          <w:u w:val="none"/>
          <w:lang w:eastAsia="vi" w:bidi="en-US"/>
        </w:rPr>
      </w:pPr>
    </w:p>
    <w:p w14:paraId="3C391AA3" w14:textId="04FB52E2" w:rsidR="00B30812" w:rsidRPr="00D875A4" w:rsidRDefault="00B30812" w:rsidP="007C0957">
      <w:pPr>
        <w:jc w:val="center"/>
        <w:rPr>
          <w:rStyle w:val="fontstyle21"/>
          <w:rFonts w:ascii="Times New Roman" w:hAnsi="Times New Roman"/>
          <w:color w:val="auto"/>
          <w:sz w:val="22"/>
          <w:szCs w:val="22"/>
        </w:rPr>
      </w:pPr>
      <w:r w:rsidRPr="00D875A4">
        <w:rPr>
          <w:rStyle w:val="fontstyle21"/>
          <w:rFonts w:ascii="Times New Roman" w:hAnsi="Times New Roman"/>
          <w:color w:val="auto"/>
          <w:sz w:val="22"/>
          <w:szCs w:val="22"/>
        </w:rPr>
        <w:t>Ngày nhận bài: 19/</w:t>
      </w:r>
      <w:r w:rsidR="009C16DB" w:rsidRPr="00D875A4">
        <w:rPr>
          <w:rStyle w:val="fontstyle21"/>
          <w:rFonts w:ascii="Times New Roman" w:hAnsi="Times New Roman"/>
          <w:color w:val="auto"/>
          <w:sz w:val="22"/>
          <w:szCs w:val="22"/>
          <w:lang w:val="en-US"/>
        </w:rPr>
        <w:t>06</w:t>
      </w:r>
      <w:r w:rsidRPr="00D875A4">
        <w:rPr>
          <w:rStyle w:val="fontstyle21"/>
          <w:rFonts w:ascii="Times New Roman" w:hAnsi="Times New Roman"/>
          <w:color w:val="auto"/>
          <w:sz w:val="22"/>
          <w:szCs w:val="22"/>
        </w:rPr>
        <w:t>/202</w:t>
      </w:r>
      <w:r w:rsidR="009C16DB" w:rsidRPr="00D875A4">
        <w:rPr>
          <w:rStyle w:val="fontstyle21"/>
          <w:rFonts w:ascii="Times New Roman" w:hAnsi="Times New Roman"/>
          <w:color w:val="auto"/>
          <w:sz w:val="22"/>
          <w:szCs w:val="22"/>
          <w:lang w:val="en-US"/>
        </w:rPr>
        <w:t>5</w:t>
      </w:r>
      <w:r w:rsidRPr="00D875A4">
        <w:rPr>
          <w:rStyle w:val="fontstyle21"/>
          <w:rFonts w:ascii="Times New Roman" w:hAnsi="Times New Roman"/>
          <w:color w:val="auto"/>
          <w:sz w:val="22"/>
          <w:szCs w:val="22"/>
        </w:rPr>
        <w:t xml:space="preserve">; Ngày sửa bài: </w:t>
      </w:r>
      <w:r w:rsidR="009C16DB" w:rsidRPr="00D875A4">
        <w:rPr>
          <w:rStyle w:val="fontstyle21"/>
          <w:rFonts w:ascii="Times New Roman" w:hAnsi="Times New Roman"/>
          <w:color w:val="auto"/>
          <w:sz w:val="22"/>
          <w:szCs w:val="22"/>
          <w:lang w:val="en-US"/>
        </w:rPr>
        <w:t>dd/mm/yyyy</w:t>
      </w:r>
      <w:r w:rsidRPr="00D875A4">
        <w:rPr>
          <w:rStyle w:val="fontstyle21"/>
          <w:rFonts w:ascii="Times New Roman" w:hAnsi="Times New Roman"/>
          <w:color w:val="auto"/>
          <w:sz w:val="22"/>
          <w:szCs w:val="22"/>
        </w:rPr>
        <w:t>;</w:t>
      </w:r>
    </w:p>
    <w:p w14:paraId="75BFB95A" w14:textId="643F7643" w:rsidR="00B30812" w:rsidRPr="00D875A4" w:rsidRDefault="00B30812" w:rsidP="007C0957">
      <w:pPr>
        <w:jc w:val="center"/>
        <w:rPr>
          <w:i/>
          <w:lang w:eastAsia="vi" w:bidi="en-US"/>
        </w:rPr>
      </w:pPr>
      <w:r w:rsidRPr="00D875A4">
        <w:rPr>
          <w:rStyle w:val="fontstyle21"/>
          <w:rFonts w:ascii="Times New Roman" w:hAnsi="Times New Roman"/>
          <w:color w:val="auto"/>
          <w:sz w:val="22"/>
          <w:szCs w:val="22"/>
        </w:rPr>
        <w:t xml:space="preserve">Ngày nhận đăng: </w:t>
      </w:r>
      <w:r w:rsidR="009C16DB" w:rsidRPr="00D875A4">
        <w:rPr>
          <w:rStyle w:val="fontstyle21"/>
          <w:rFonts w:ascii="Times New Roman" w:hAnsi="Times New Roman"/>
          <w:color w:val="auto"/>
          <w:sz w:val="22"/>
          <w:szCs w:val="22"/>
          <w:lang w:val="en-US"/>
        </w:rPr>
        <w:t>dd/mm/yyyy</w:t>
      </w:r>
      <w:r w:rsidRPr="00D875A4">
        <w:rPr>
          <w:rStyle w:val="fontstyle21"/>
          <w:rFonts w:ascii="Times New Roman" w:hAnsi="Times New Roman"/>
          <w:color w:val="auto"/>
          <w:sz w:val="22"/>
          <w:szCs w:val="22"/>
        </w:rPr>
        <w:t xml:space="preserve">; Ngày xuất bản: </w:t>
      </w:r>
      <w:r w:rsidR="009C16DB" w:rsidRPr="00D875A4">
        <w:rPr>
          <w:rStyle w:val="fontstyle21"/>
          <w:rFonts w:ascii="Times New Roman" w:hAnsi="Times New Roman"/>
          <w:color w:val="auto"/>
          <w:sz w:val="22"/>
          <w:szCs w:val="22"/>
          <w:lang w:val="en-US"/>
        </w:rPr>
        <w:t>dd/mm/yyyy</w:t>
      </w:r>
    </w:p>
    <w:p w14:paraId="57369F3D" w14:textId="77777777" w:rsidR="00B30812" w:rsidRPr="00D875A4" w:rsidRDefault="00B30812" w:rsidP="007C0957">
      <w:pPr>
        <w:rPr>
          <w:lang w:val="en-US" w:eastAsia="vi" w:bidi="en-US"/>
        </w:rPr>
      </w:pPr>
    </w:p>
    <w:p w14:paraId="523A20E4" w14:textId="77777777" w:rsidR="007C0957" w:rsidRPr="00D875A4" w:rsidRDefault="007C0957" w:rsidP="007C0957">
      <w:pPr>
        <w:rPr>
          <w:lang w:val="en-US" w:eastAsia="vi" w:bidi="en-US"/>
        </w:rPr>
      </w:pPr>
    </w:p>
    <w:p w14:paraId="6587D694" w14:textId="77777777" w:rsidR="00B30812" w:rsidRPr="00D875A4" w:rsidRDefault="00B30812" w:rsidP="00C30B02">
      <w:pPr>
        <w:tabs>
          <w:tab w:val="left" w:pos="360"/>
          <w:tab w:val="left" w:pos="540"/>
          <w:tab w:val="right" w:leader="hyphen" w:pos="9072"/>
        </w:tabs>
        <w:rPr>
          <w:b/>
        </w:rPr>
      </w:pPr>
      <w:r w:rsidRPr="00D875A4">
        <w:rPr>
          <w:b/>
        </w:rPr>
        <w:t>TÓM TẮT</w:t>
      </w:r>
    </w:p>
    <w:p w14:paraId="273FC96E" w14:textId="042B0C6D" w:rsidR="00B30812" w:rsidRPr="00D875A4" w:rsidRDefault="004E2438" w:rsidP="007C0957">
      <w:pPr>
        <w:spacing w:before="120" w:after="120"/>
        <w:ind w:firstLine="567"/>
        <w:rPr>
          <w:sz w:val="20"/>
          <w:szCs w:val="20"/>
          <w:lang w:val="en-US" w:eastAsia="vi" w:bidi="en-US"/>
        </w:rPr>
      </w:pPr>
      <w:r w:rsidRPr="00D875A4">
        <w:rPr>
          <w:sz w:val="20"/>
          <w:szCs w:val="20"/>
          <w:lang w:val="vi" w:eastAsia="vi" w:bidi="en-US"/>
        </w:rPr>
        <w:t>Bài viết này trình bày kết quả nghiên cứu về ảnh hưởng của cấu trúc vốn đến hiệu suất của các công ty niêm yết công khai tại Việt Nam. ROE</w:t>
      </w:r>
      <w:r w:rsidR="007C0189" w:rsidRPr="00D875A4">
        <w:rPr>
          <w:sz w:val="20"/>
          <w:szCs w:val="20"/>
          <w:lang w:val="en-US" w:eastAsia="vi" w:bidi="en-US"/>
        </w:rPr>
        <w:t xml:space="preserve"> (Tỷ suất lợi nhuận trên vốn chủ sở hữu)</w:t>
      </w:r>
      <w:r w:rsidRPr="00D875A4">
        <w:rPr>
          <w:sz w:val="20"/>
          <w:szCs w:val="20"/>
          <w:lang w:val="vi" w:eastAsia="vi" w:bidi="en-US"/>
        </w:rPr>
        <w:t xml:space="preserve">, ROA </w:t>
      </w:r>
      <w:r w:rsidR="007C0189" w:rsidRPr="00D875A4">
        <w:rPr>
          <w:sz w:val="20"/>
          <w:szCs w:val="20"/>
          <w:lang w:val="en-US" w:eastAsia="vi" w:bidi="en-US"/>
        </w:rPr>
        <w:t xml:space="preserve">(Tỷ suất lợi nhuận trên tài sản) </w:t>
      </w:r>
      <w:r w:rsidRPr="00D875A4">
        <w:rPr>
          <w:sz w:val="20"/>
          <w:szCs w:val="20"/>
          <w:lang w:val="vi" w:eastAsia="vi" w:bidi="en-US"/>
        </w:rPr>
        <w:t>và EPS</w:t>
      </w:r>
      <w:r w:rsidR="000371E2" w:rsidRPr="00D875A4">
        <w:rPr>
          <w:sz w:val="20"/>
          <w:szCs w:val="20"/>
          <w:lang w:val="en-US" w:eastAsia="vi" w:bidi="en-US"/>
        </w:rPr>
        <w:t xml:space="preserve"> (Thu nhập trên mỗi cổ phiếu)</w:t>
      </w:r>
      <w:r w:rsidRPr="00D875A4">
        <w:rPr>
          <w:sz w:val="20"/>
          <w:szCs w:val="20"/>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w:t>
      </w:r>
      <w:r w:rsidR="000E6390">
        <w:rPr>
          <w:sz w:val="20"/>
          <w:szCs w:val="20"/>
          <w:lang w:val="en-US" w:eastAsia="vi" w:bidi="en-US"/>
        </w:rPr>
        <w:t>-</w:t>
      </w:r>
      <w:r w:rsidRPr="00D875A4">
        <w:rPr>
          <w:sz w:val="20"/>
          <w:szCs w:val="20"/>
          <w:lang w:val="vi" w:eastAsia="vi" w:bidi="en-US"/>
        </w:rPr>
        <w:t>2022</w:t>
      </w:r>
      <w:r w:rsidR="0047335F" w:rsidRPr="00D875A4">
        <w:rPr>
          <w:sz w:val="20"/>
          <w:szCs w:val="20"/>
          <w:lang w:val="en-US" w:eastAsia="vi" w:bidi="en-US"/>
        </w:rPr>
        <w:t xml:space="preserve"> với 9.555 quan sát</w:t>
      </w:r>
      <w:r w:rsidRPr="00D875A4">
        <w:rPr>
          <w:sz w:val="20"/>
          <w:szCs w:val="20"/>
          <w:lang w:val="vi" w:eastAsia="vi" w:bidi="en-US"/>
        </w:rPr>
        <w:t xml:space="preserve">. </w:t>
      </w:r>
      <w:r w:rsidR="00C53014" w:rsidRPr="00D875A4">
        <w:rPr>
          <w:sz w:val="20"/>
          <w:szCs w:val="20"/>
          <w:lang w:val="vi" w:eastAsia="vi" w:bidi="en-US"/>
        </w:rPr>
        <w:t>Kết quả từ GMM hệ thống và 2SLS (phương pháp chính) cho thấy đòn bẩy tài chính cao hơn liên quan đến lợi nhuận thấp hơn, phù hợp với các lý thuyết Trade-off, Pecking Order, Agency, và Signaling trong bối cảnh thị trường mới nổi của Việt Nam, nơi chi phí phá sản và xung đột đại diện được phóng đại do bất ổn kinh tế vĩ mô. Phân tích phi tuyến tính xác nhận hiệu ứng inverted-U, với ngưỡng tối ưu khoảng 0.42; dị thường ngành cho thấy tác động mạnh hơn trong lĩnh vực sản xuất. Kết quả nhất quán sau các kiểm tra vững chắc</w:t>
      </w:r>
      <w:r w:rsidR="007D5222" w:rsidRPr="00D875A4">
        <w:rPr>
          <w:sz w:val="20"/>
          <w:szCs w:val="20"/>
          <w:lang w:val="en-US" w:eastAsia="vi" w:bidi="en-US"/>
        </w:rPr>
        <w:t>.</w:t>
      </w:r>
    </w:p>
    <w:p w14:paraId="0C4FA0F9" w14:textId="2799747A" w:rsidR="00B30812" w:rsidRPr="00D875A4" w:rsidRDefault="00B30812" w:rsidP="00EE6902">
      <w:pPr>
        <w:spacing w:before="120" w:after="240"/>
        <w:rPr>
          <w:lang w:val="en-US"/>
        </w:rPr>
      </w:pPr>
      <w:r w:rsidRPr="00D875A4">
        <w:rPr>
          <w:b/>
          <w:sz w:val="20"/>
          <w:szCs w:val="20"/>
          <w:lang w:eastAsia="vi" w:bidi="en-US"/>
        </w:rPr>
        <w:t xml:space="preserve">Từ khoá: </w:t>
      </w:r>
      <w:r w:rsidR="007C0957" w:rsidRPr="00D875A4">
        <w:rPr>
          <w:i/>
          <w:iCs/>
          <w:sz w:val="20"/>
          <w:szCs w:val="20"/>
          <w:lang w:eastAsia="vi" w:bidi="en-US"/>
        </w:rPr>
        <w:t xml:space="preserve">cấu trúc vốn, đòn bẩy, hiệu suất doanh nghiệp, </w:t>
      </w:r>
      <w:r w:rsidR="00EE6902" w:rsidRPr="00D875A4">
        <w:rPr>
          <w:i/>
          <w:iCs/>
          <w:sz w:val="20"/>
          <w:szCs w:val="20"/>
          <w:lang w:eastAsia="vi" w:bidi="en-US"/>
        </w:rPr>
        <w:t>GMM hệ thống, 2SLS</w:t>
      </w:r>
      <w:r w:rsidRPr="00D875A4">
        <w:rPr>
          <w:lang w:val="en-US"/>
        </w:rPr>
        <w:br w:type="page"/>
      </w:r>
    </w:p>
    <w:p w14:paraId="107526EA" w14:textId="77777777" w:rsidR="00C30B02" w:rsidRPr="00D875A4" w:rsidRDefault="00C30B02" w:rsidP="00C30B02">
      <w:pPr>
        <w:rPr>
          <w:lang w:val="en-US" w:eastAsia="vi" w:bidi="en-US"/>
        </w:rPr>
      </w:pPr>
    </w:p>
    <w:p w14:paraId="589FADEE" w14:textId="77777777" w:rsidR="00C30B02" w:rsidRPr="00D875A4" w:rsidRDefault="00C30B02" w:rsidP="00C30B02">
      <w:pPr>
        <w:rPr>
          <w:lang w:val="en-US" w:eastAsia="vi" w:bidi="en-US"/>
        </w:rPr>
      </w:pPr>
    </w:p>
    <w:p w14:paraId="4677BAC1" w14:textId="7962A6A3" w:rsidR="005C6ACD" w:rsidRPr="00D875A4" w:rsidRDefault="005C6ACD" w:rsidP="00C30B02">
      <w:pPr>
        <w:tabs>
          <w:tab w:val="left" w:pos="734"/>
        </w:tabs>
        <w:jc w:val="center"/>
        <w:rPr>
          <w:rFonts w:ascii="Arial" w:hAnsi="Arial" w:cs="Arial"/>
          <w:b/>
          <w:sz w:val="32"/>
          <w:szCs w:val="32"/>
          <w:lang w:val="vi" w:eastAsia="vi" w:bidi="en-US"/>
        </w:rPr>
      </w:pPr>
      <w:r w:rsidRPr="00D875A4">
        <w:rPr>
          <w:rFonts w:ascii="Arial" w:hAnsi="Arial" w:cs="Arial"/>
          <w:b/>
          <w:sz w:val="32"/>
          <w:szCs w:val="32"/>
          <w:lang w:val="vi" w:eastAsia="vi" w:bidi="en-US"/>
        </w:rPr>
        <w:t>Examining the Impact of Leverage on Corporate Performance: Insights from Vietnam's Publicly-Listed Companies</w:t>
      </w:r>
    </w:p>
    <w:p w14:paraId="70091219" w14:textId="77777777" w:rsidR="00C30B02" w:rsidRPr="00D875A4" w:rsidRDefault="00C30B02" w:rsidP="00C30B02">
      <w:pPr>
        <w:rPr>
          <w:lang w:val="en-US"/>
        </w:rPr>
      </w:pPr>
    </w:p>
    <w:p w14:paraId="17F258A9" w14:textId="0585909A" w:rsidR="001E4117" w:rsidRPr="00D875A4" w:rsidRDefault="001E4117" w:rsidP="005E7788">
      <w:pPr>
        <w:jc w:val="center"/>
        <w:rPr>
          <w:sz w:val="24"/>
          <w:szCs w:val="24"/>
          <w:vertAlign w:val="superscript"/>
          <w:lang w:val="en-US"/>
        </w:rPr>
      </w:pPr>
      <w:r w:rsidRPr="00D875A4">
        <w:rPr>
          <w:b/>
          <w:bCs/>
          <w:sz w:val="24"/>
          <w:szCs w:val="24"/>
        </w:rPr>
        <w:t>Dang Thi My Dung</w:t>
      </w:r>
      <w:r w:rsidRPr="00D875A4">
        <w:rPr>
          <w:b/>
          <w:bCs/>
          <w:sz w:val="24"/>
          <w:szCs w:val="24"/>
          <w:vertAlign w:val="superscript"/>
          <w:lang w:val="en-US"/>
        </w:rPr>
        <w:t>1</w:t>
      </w:r>
      <w:r w:rsidR="00B51B7A" w:rsidRPr="00D875A4">
        <w:rPr>
          <w:b/>
          <w:bCs/>
          <w:sz w:val="24"/>
          <w:szCs w:val="24"/>
          <w:vertAlign w:val="superscript"/>
          <w:lang w:val="en-US"/>
        </w:rPr>
        <w:t>,*</w:t>
      </w:r>
      <w:r w:rsidRPr="00D875A4">
        <w:rPr>
          <w:b/>
          <w:bCs/>
          <w:sz w:val="24"/>
          <w:szCs w:val="24"/>
          <w:lang w:val="en-US"/>
        </w:rPr>
        <w:t xml:space="preserve">, </w:t>
      </w:r>
      <w:r w:rsidRPr="00D875A4">
        <w:rPr>
          <w:b/>
          <w:bCs/>
          <w:sz w:val="24"/>
          <w:szCs w:val="24"/>
        </w:rPr>
        <w:t>Nguyen Thi My Hang</w:t>
      </w:r>
      <w:r w:rsidRPr="00D875A4">
        <w:rPr>
          <w:b/>
          <w:bCs/>
          <w:sz w:val="24"/>
          <w:szCs w:val="24"/>
          <w:vertAlign w:val="superscript"/>
          <w:lang w:val="en-US"/>
        </w:rPr>
        <w:t>2</w:t>
      </w:r>
      <w:r w:rsidRPr="00D875A4">
        <w:rPr>
          <w:b/>
          <w:bCs/>
          <w:sz w:val="24"/>
          <w:szCs w:val="24"/>
        </w:rPr>
        <w:t xml:space="preserve">, </w:t>
      </w:r>
      <w:r w:rsidR="008C2DA6" w:rsidRPr="00D875A4">
        <w:rPr>
          <w:b/>
          <w:bCs/>
          <w:sz w:val="24"/>
          <w:szCs w:val="24"/>
          <w:lang w:val="en-US"/>
        </w:rPr>
        <w:t>Tran Nhu Quynh</w:t>
      </w:r>
      <w:r w:rsidRPr="00D875A4">
        <w:rPr>
          <w:b/>
          <w:bCs/>
          <w:sz w:val="24"/>
          <w:szCs w:val="24"/>
          <w:vertAlign w:val="superscript"/>
          <w:lang w:val="en-US"/>
        </w:rPr>
        <w:t>3</w:t>
      </w:r>
    </w:p>
    <w:p w14:paraId="7FF7776C" w14:textId="77777777" w:rsidR="00C30B02" w:rsidRPr="00D875A4" w:rsidRDefault="00C30B02" w:rsidP="00C30B02">
      <w:pPr>
        <w:rPr>
          <w:vertAlign w:val="superscript"/>
          <w:lang w:val="en-US"/>
        </w:rPr>
      </w:pPr>
    </w:p>
    <w:p w14:paraId="796AB479" w14:textId="6A454F13" w:rsidR="000D6833" w:rsidRPr="00D875A4" w:rsidRDefault="001E4117" w:rsidP="00C30B02">
      <w:pPr>
        <w:jc w:val="center"/>
        <w:rPr>
          <w:i/>
          <w:iCs/>
          <w:lang w:val="en-US"/>
        </w:rPr>
      </w:pPr>
      <w:r w:rsidRPr="00D875A4">
        <w:rPr>
          <w:i/>
          <w:iCs/>
          <w:vertAlign w:val="superscript"/>
          <w:lang w:val="en-US"/>
        </w:rPr>
        <w:t>1</w:t>
      </w:r>
      <w:r w:rsidR="000D6833" w:rsidRPr="00D875A4">
        <w:rPr>
          <w:i/>
          <w:iCs/>
        </w:rPr>
        <w:t xml:space="preserve"> Foreign Trade University </w:t>
      </w:r>
      <w:r w:rsidRPr="00D875A4">
        <w:rPr>
          <w:i/>
          <w:iCs/>
        </w:rPr>
        <w:t>–</w:t>
      </w:r>
      <w:r w:rsidR="000D6833" w:rsidRPr="00D875A4">
        <w:rPr>
          <w:i/>
          <w:iCs/>
        </w:rPr>
        <w:t xml:space="preserve"> Vietnam</w:t>
      </w:r>
      <w:r w:rsidR="00561EE7" w:rsidRPr="00D875A4">
        <w:rPr>
          <w:i/>
          <w:iCs/>
          <w:lang w:val="en-US"/>
        </w:rPr>
        <w:t xml:space="preserve"> &amp; </w:t>
      </w:r>
      <w:r w:rsidR="00561EE7" w:rsidRPr="00D875A4">
        <w:rPr>
          <w:i/>
          <w:iCs/>
        </w:rPr>
        <w:t xml:space="preserve">University of </w:t>
      </w:r>
      <w:r w:rsidR="00561EE7" w:rsidRPr="00D875A4">
        <w:rPr>
          <w:i/>
          <w:iCs/>
          <w:lang w:val="en-US"/>
        </w:rPr>
        <w:t xml:space="preserve"> Greater Manchester</w:t>
      </w:r>
      <w:r w:rsidR="00561EE7" w:rsidRPr="00D875A4">
        <w:rPr>
          <w:i/>
          <w:iCs/>
        </w:rPr>
        <w:t xml:space="preserve"> – </w:t>
      </w:r>
      <w:r w:rsidR="00561EE7" w:rsidRPr="00D875A4">
        <w:rPr>
          <w:i/>
          <w:iCs/>
          <w:lang w:val="en-US"/>
        </w:rPr>
        <w:t>United Kingdom</w:t>
      </w:r>
      <w:r w:rsidR="00561EE7" w:rsidRPr="00D875A4">
        <w:rPr>
          <w:i/>
          <w:iCs/>
        </w:rPr>
        <w:t xml:space="preserve"> </w:t>
      </w:r>
      <w:r w:rsidRPr="00D875A4">
        <w:rPr>
          <w:i/>
          <w:iCs/>
          <w:lang w:val="en-US"/>
        </w:rPr>
        <w:br/>
      </w:r>
      <w:r w:rsidRPr="00D875A4">
        <w:rPr>
          <w:i/>
          <w:iCs/>
          <w:vertAlign w:val="superscript"/>
          <w:lang w:val="en-US"/>
        </w:rPr>
        <w:t>2,3</w:t>
      </w:r>
      <w:r w:rsidR="000D6833" w:rsidRPr="00D875A4">
        <w:rPr>
          <w:i/>
          <w:iCs/>
        </w:rPr>
        <w:t>Foreign Trade University - Vietnam</w:t>
      </w:r>
    </w:p>
    <w:p w14:paraId="550978E8" w14:textId="77777777" w:rsidR="00C30B02" w:rsidRPr="00D875A4" w:rsidRDefault="00C30B02" w:rsidP="00C30B02">
      <w:pPr>
        <w:rPr>
          <w:vertAlign w:val="superscript"/>
          <w:lang w:val="en-US"/>
        </w:rPr>
      </w:pPr>
    </w:p>
    <w:p w14:paraId="139F6515" w14:textId="6665C48E" w:rsidR="00B30563" w:rsidRPr="00D875A4" w:rsidRDefault="001E4117" w:rsidP="00C30B02">
      <w:pPr>
        <w:jc w:val="center"/>
        <w:rPr>
          <w:lang w:val="en-US"/>
        </w:rPr>
      </w:pPr>
      <w:r w:rsidRPr="00D875A4">
        <w:rPr>
          <w:i/>
          <w:iCs/>
          <w:vertAlign w:val="superscript"/>
          <w:lang w:val="en-US"/>
        </w:rPr>
        <w:t>*</w:t>
      </w:r>
      <w:r w:rsidR="00B30563" w:rsidRPr="00D875A4">
        <w:rPr>
          <w:i/>
          <w:iCs/>
          <w:lang w:val="en-US"/>
        </w:rPr>
        <w:t xml:space="preserve">Corresponding author: </w:t>
      </w:r>
      <w:hyperlink r:id="rId11" w:history="1">
        <w:r w:rsidR="00084844" w:rsidRPr="007D0E67">
          <w:rPr>
            <w:rStyle w:val="Hyperlink"/>
            <w:i/>
            <w:iCs/>
            <w:lang w:val="en-US"/>
          </w:rPr>
          <w:t>dangthimydung.hcmc@ftu.edu.vn</w:t>
        </w:r>
      </w:hyperlink>
      <w:r w:rsidR="00561EE7" w:rsidRPr="00D875A4">
        <w:rPr>
          <w:rStyle w:val="Hyperlink"/>
          <w:i/>
          <w:iCs/>
          <w:color w:val="auto"/>
          <w:lang w:val="en-US"/>
        </w:rPr>
        <w:t xml:space="preserve"> &amp; </w:t>
      </w:r>
      <w:hyperlink r:id="rId12" w:history="1">
        <w:r w:rsidR="00561EE7" w:rsidRPr="00D875A4">
          <w:rPr>
            <w:rStyle w:val="Hyperlink"/>
            <w:i/>
            <w:iCs/>
            <w:color w:val="auto"/>
            <w:lang w:val="en-US"/>
          </w:rPr>
          <w:t>dtd1ocd@bolton.ac.uk</w:t>
        </w:r>
      </w:hyperlink>
      <w:r w:rsidR="00561EE7" w:rsidRPr="00D875A4">
        <w:rPr>
          <w:i/>
          <w:iCs/>
          <w:lang w:val="en-US"/>
        </w:rPr>
        <w:t>;</w:t>
      </w:r>
    </w:p>
    <w:p w14:paraId="4A6F373C" w14:textId="77777777" w:rsidR="00C30B02" w:rsidRPr="00D875A4" w:rsidRDefault="00C30B02" w:rsidP="00C30B02">
      <w:pPr>
        <w:rPr>
          <w:lang w:val="en-US"/>
        </w:rPr>
      </w:pPr>
    </w:p>
    <w:p w14:paraId="6C7E2237" w14:textId="77777777" w:rsidR="00C30B02" w:rsidRPr="00D875A4" w:rsidRDefault="00171304" w:rsidP="00C30B02">
      <w:pPr>
        <w:ind w:right="68"/>
        <w:jc w:val="center"/>
        <w:rPr>
          <w:i/>
          <w:lang w:val="en-US"/>
        </w:rPr>
      </w:pPr>
      <w:r w:rsidRPr="00D875A4">
        <w:rPr>
          <w:i/>
        </w:rPr>
        <w:t>Received: dd/mm/yyyy; Revised: dd/mm/yyyy;</w:t>
      </w:r>
    </w:p>
    <w:p w14:paraId="3D961538" w14:textId="09B7D54A" w:rsidR="00171304" w:rsidRPr="00D875A4" w:rsidRDefault="00171304" w:rsidP="00C30B02">
      <w:pPr>
        <w:ind w:right="68"/>
        <w:jc w:val="center"/>
        <w:rPr>
          <w:i/>
        </w:rPr>
      </w:pPr>
      <w:r w:rsidRPr="00D875A4">
        <w:rPr>
          <w:i/>
        </w:rPr>
        <w:t>Accepted: dd/mm/yyyy; Published: dd/mm/yyyy</w:t>
      </w:r>
    </w:p>
    <w:p w14:paraId="234D20C3" w14:textId="77777777" w:rsidR="00C30B02" w:rsidRPr="00D875A4" w:rsidRDefault="00C30B02" w:rsidP="00C30B02">
      <w:pPr>
        <w:rPr>
          <w:lang w:val="en-US"/>
        </w:rPr>
      </w:pPr>
    </w:p>
    <w:p w14:paraId="7B039149" w14:textId="77777777" w:rsidR="00C30B02" w:rsidRPr="00D875A4" w:rsidRDefault="00C30B02" w:rsidP="00C30B02">
      <w:pPr>
        <w:rPr>
          <w:lang w:val="en-US"/>
        </w:rPr>
      </w:pPr>
    </w:p>
    <w:p w14:paraId="1C3D7B1D" w14:textId="6EC8AACB" w:rsidR="00A164F0" w:rsidRPr="00D875A4" w:rsidRDefault="00A164F0" w:rsidP="00DB3658">
      <w:pPr>
        <w:tabs>
          <w:tab w:val="left" w:pos="360"/>
          <w:tab w:val="left" w:pos="540"/>
          <w:tab w:val="right" w:leader="hyphen" w:pos="9072"/>
        </w:tabs>
        <w:rPr>
          <w:b/>
        </w:rPr>
      </w:pPr>
      <w:r w:rsidRPr="00D875A4">
        <w:rPr>
          <w:b/>
        </w:rPr>
        <w:t>ABSTRACT</w:t>
      </w:r>
    </w:p>
    <w:p w14:paraId="20CD58DA" w14:textId="39D94AF3" w:rsidR="00814F3D" w:rsidRPr="00D875A4" w:rsidRDefault="007F4CD4" w:rsidP="00C30B02">
      <w:pPr>
        <w:spacing w:before="120" w:after="120"/>
        <w:ind w:firstLine="567"/>
        <w:rPr>
          <w:sz w:val="20"/>
          <w:szCs w:val="20"/>
          <w:lang w:val="en-US"/>
        </w:rPr>
      </w:pPr>
      <w:r w:rsidRPr="00D875A4">
        <w:rPr>
          <w:sz w:val="20"/>
          <w:szCs w:val="20"/>
        </w:rPr>
        <w:t xml:space="preserve">This article presents </w:t>
      </w:r>
      <w:r w:rsidR="00A910E6" w:rsidRPr="00D875A4">
        <w:rPr>
          <w:sz w:val="20"/>
          <w:szCs w:val="20"/>
          <w:lang w:val="en-US"/>
        </w:rPr>
        <w:t>the</w:t>
      </w:r>
      <w:r w:rsidRPr="00D875A4">
        <w:rPr>
          <w:sz w:val="20"/>
          <w:szCs w:val="20"/>
        </w:rPr>
        <w:t xml:space="preserve"> result</w:t>
      </w:r>
      <w:r w:rsidR="00A910E6" w:rsidRPr="00D875A4">
        <w:rPr>
          <w:sz w:val="20"/>
          <w:szCs w:val="20"/>
          <w:lang w:val="en-US"/>
        </w:rPr>
        <w:t>s</w:t>
      </w:r>
      <w:r w:rsidRPr="00D875A4">
        <w:rPr>
          <w:sz w:val="20"/>
          <w:szCs w:val="20"/>
        </w:rPr>
        <w:t xml:space="preserve">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w:t>
      </w:r>
      <w:r w:rsidR="00B93B64" w:rsidRPr="00D875A4">
        <w:rPr>
          <w:sz w:val="20"/>
          <w:szCs w:val="20"/>
        </w:rPr>
        <w:t>–</w:t>
      </w:r>
      <w:r w:rsidRPr="00D875A4">
        <w:rPr>
          <w:sz w:val="20"/>
          <w:szCs w:val="20"/>
        </w:rPr>
        <w:t xml:space="preserve"> 2022</w:t>
      </w:r>
      <w:r w:rsidR="00B93B64" w:rsidRPr="00D875A4">
        <w:rPr>
          <w:sz w:val="20"/>
          <w:szCs w:val="20"/>
          <w:lang w:val="en-US"/>
        </w:rPr>
        <w:t>, yielding 9,555 observations.</w:t>
      </w:r>
      <w:r w:rsidRPr="00D875A4">
        <w:rPr>
          <w:sz w:val="20"/>
          <w:szCs w:val="20"/>
        </w:rPr>
        <w:t xml:space="preserve"> </w:t>
      </w:r>
      <w:r w:rsidR="004D26B9" w:rsidRPr="00D875A4">
        <w:rPr>
          <w:sz w:val="20"/>
          <w:szCs w:val="20"/>
          <w:lang w:val="en-US"/>
        </w:rPr>
        <w:t>System GMM and 2SLS (primary methods) results indicate that higher financial leverage is associated with lower profitability, aligning with Trade-off, Pecking Order, Agency, and Signaling theories in Vietnam's emerging market context, where bankruptcy costs and agency conflicts are amplified by macroeconomic instability. Non-linear analysis confirms an inverted-U effect, with an optimal threshold around 0.42; sectoral heterogeneity shows stronger impacts in manufacturing. Findings are robust across checks.</w:t>
      </w:r>
    </w:p>
    <w:p w14:paraId="4D9CCF79" w14:textId="79358687" w:rsidR="0036414F" w:rsidRPr="00D875A4" w:rsidRDefault="007F4CD4" w:rsidP="00FD509B">
      <w:pPr>
        <w:spacing w:before="120" w:after="240"/>
        <w:sectPr w:rsidR="0036414F" w:rsidRPr="00D875A4" w:rsidSect="007C0957">
          <w:pgSz w:w="11906" w:h="16838"/>
          <w:pgMar w:top="1134" w:right="1134" w:bottom="1134" w:left="1418" w:header="720" w:footer="720" w:gutter="0"/>
          <w:pgNumType w:start="1"/>
          <w:cols w:space="720"/>
          <w:docGrid w:linePitch="354"/>
        </w:sectPr>
      </w:pPr>
      <w:r w:rsidRPr="00D875A4">
        <w:rPr>
          <w:b/>
          <w:sz w:val="20"/>
          <w:szCs w:val="20"/>
        </w:rPr>
        <w:t>Keywords:</w:t>
      </w:r>
      <w:r w:rsidRPr="00D875A4">
        <w:rPr>
          <w:sz w:val="20"/>
          <w:szCs w:val="20"/>
        </w:rPr>
        <w:t xml:space="preserve"> </w:t>
      </w:r>
      <w:r w:rsidR="003D6418" w:rsidRPr="00D875A4">
        <w:rPr>
          <w:i/>
          <w:iCs/>
          <w:sz w:val="20"/>
          <w:szCs w:val="20"/>
          <w:lang w:val="en-US"/>
        </w:rPr>
        <w:t>c</w:t>
      </w:r>
      <w:r w:rsidR="003D6418" w:rsidRPr="00D875A4">
        <w:rPr>
          <w:i/>
          <w:iCs/>
          <w:sz w:val="20"/>
          <w:szCs w:val="20"/>
        </w:rPr>
        <w:t xml:space="preserve">apital structure, </w:t>
      </w:r>
      <w:r w:rsidR="00FD509B" w:rsidRPr="00D875A4">
        <w:rPr>
          <w:i/>
          <w:iCs/>
          <w:sz w:val="20"/>
          <w:szCs w:val="20"/>
          <w:lang w:val="en-US"/>
        </w:rPr>
        <w:t>l</w:t>
      </w:r>
      <w:r w:rsidR="00FD509B" w:rsidRPr="00D875A4">
        <w:rPr>
          <w:i/>
          <w:iCs/>
          <w:sz w:val="20"/>
          <w:szCs w:val="20"/>
        </w:rPr>
        <w:t>everage,</w:t>
      </w:r>
      <w:r w:rsidR="00FD509B" w:rsidRPr="00D875A4">
        <w:rPr>
          <w:i/>
          <w:iCs/>
          <w:sz w:val="20"/>
          <w:szCs w:val="20"/>
          <w:lang w:val="en-US"/>
        </w:rPr>
        <w:t xml:space="preserve"> </w:t>
      </w:r>
      <w:r w:rsidR="003D6418" w:rsidRPr="00D875A4">
        <w:rPr>
          <w:i/>
          <w:iCs/>
          <w:sz w:val="20"/>
          <w:szCs w:val="20"/>
          <w:lang w:val="en-US"/>
        </w:rPr>
        <w:t>f</w:t>
      </w:r>
      <w:r w:rsidR="003D6418" w:rsidRPr="00D875A4">
        <w:rPr>
          <w:i/>
          <w:iCs/>
          <w:sz w:val="20"/>
          <w:szCs w:val="20"/>
        </w:rPr>
        <w:t xml:space="preserve">irm performance, </w:t>
      </w:r>
      <w:bookmarkStart w:id="0" w:name="_heading=h.gjdgxs" w:colFirst="0" w:colLast="0"/>
      <w:bookmarkEnd w:id="0"/>
      <w:r w:rsidR="00FD509B" w:rsidRPr="00D875A4">
        <w:rPr>
          <w:i/>
          <w:iCs/>
          <w:sz w:val="20"/>
          <w:szCs w:val="20"/>
        </w:rPr>
        <w:t>System GMM, 2SLS</w:t>
      </w:r>
    </w:p>
    <w:p w14:paraId="03C22202" w14:textId="202B39BF" w:rsidR="00657418" w:rsidRPr="00D875A4" w:rsidRDefault="00DD28F2" w:rsidP="00EA4B92">
      <w:pPr>
        <w:pStyle w:val="Heading1"/>
        <w:rPr>
          <w:lang w:val="en-US"/>
        </w:rPr>
      </w:pPr>
      <w:r w:rsidRPr="00D875A4">
        <w:rPr>
          <w:lang w:val="en-US"/>
        </w:rPr>
        <w:t xml:space="preserve">1. </w:t>
      </w:r>
      <w:r w:rsidR="007F6984" w:rsidRPr="00D875A4">
        <w:rPr>
          <w:lang w:val="en-US"/>
        </w:rPr>
        <w:t>INTRODUCTION</w:t>
      </w:r>
    </w:p>
    <w:p w14:paraId="3A589C26" w14:textId="6D10033E" w:rsidR="00990B2A" w:rsidRPr="000238E2" w:rsidRDefault="00990B2A" w:rsidP="00990B2A">
      <w:pPr>
        <w:rPr>
          <w:color w:val="FF0000"/>
          <w:lang w:val="en-US"/>
        </w:rPr>
      </w:pPr>
      <w:r w:rsidRPr="00990B2A">
        <w:rPr>
          <w:lang w:val="en-US"/>
        </w:rPr>
        <w:t>Existing literature on leverage and firm performance lacks consensus, with studies in developed markets often showing positive effects via tax shields</w:t>
      </w:r>
      <w:r w:rsidR="00584655" w:rsidRPr="00C41652">
        <w:rPr>
          <w:color w:val="FF0000"/>
          <w:vertAlign w:val="superscript"/>
          <w:lang w:val="en-US"/>
        </w:rPr>
        <w:t>9</w:t>
      </w:r>
      <w:r w:rsidRPr="00990B2A">
        <w:rPr>
          <w:lang w:val="en-US"/>
        </w:rPr>
        <w:t>, while emerging markets reveal negatives due to high distress costs</w:t>
      </w:r>
      <w:r w:rsidR="00C41652" w:rsidRPr="00C41652">
        <w:rPr>
          <w:color w:val="FF0000"/>
          <w:vertAlign w:val="superscript"/>
          <w:lang w:val="en-US"/>
        </w:rPr>
        <w:t>18</w:t>
      </w:r>
      <w:r w:rsidRPr="00990B2A">
        <w:rPr>
          <w:lang w:val="en-US"/>
        </w:rPr>
        <w:t>. In Vietnam, prior research</w:t>
      </w:r>
      <w:r w:rsidR="00C41652" w:rsidRPr="00C41652">
        <w:rPr>
          <w:color w:val="FF0000"/>
          <w:vertAlign w:val="superscript"/>
          <w:lang w:val="en-US"/>
        </w:rPr>
        <w:t>14,18</w:t>
      </w:r>
      <w:r w:rsidR="00C41652">
        <w:rPr>
          <w:lang w:val="en-US"/>
        </w:rPr>
        <w:t xml:space="preserve"> </w:t>
      </w:r>
      <w:r w:rsidRPr="00990B2A">
        <w:rPr>
          <w:lang w:val="en-US"/>
        </w:rPr>
        <w:t>uses shorter panels and overlooks endogeneity, limiting insights into post-COVID volatility. This study addresses these gaps by testing Trade-off, Pecking Order, Agency, and Signaling theories with a large unbalanced panel (9,555 obs., 17 years), employing System GMM/2SLS for endogeneity, and including non-linear/sectoral analyses</w:t>
      </w:r>
      <w:r w:rsidR="00D36E2F">
        <w:rPr>
          <w:lang w:val="en-US"/>
        </w:rPr>
        <w:t xml:space="preserve"> </w:t>
      </w:r>
      <w:r w:rsidR="00D36E2F" w:rsidRPr="00D36E2F">
        <w:rPr>
          <w:color w:val="FF0000"/>
          <w:lang w:val="en-US"/>
        </w:rPr>
        <w:t>for additional insights</w:t>
      </w:r>
      <w:r w:rsidRPr="00D36E2F">
        <w:rPr>
          <w:color w:val="FF0000"/>
          <w:lang w:val="en-US"/>
        </w:rPr>
        <w:t>.</w:t>
      </w:r>
      <w:r w:rsidRPr="00990B2A">
        <w:rPr>
          <w:lang w:val="en-US"/>
        </w:rPr>
        <w:t xml:space="preserve"> Contributions include theoretical refinement (Vietnam-specific mechanisms) and practical guidance for leverage in unstable contexts. </w:t>
      </w:r>
      <w:r w:rsidRPr="000238E2">
        <w:rPr>
          <w:color w:val="FF0000"/>
          <w:lang w:val="en-US"/>
        </w:rPr>
        <w:t xml:space="preserve">Capital structure decisions are critical for maximizing returns while managing competitive risks </w:t>
      </w:r>
      <w:r w:rsidR="00C41652" w:rsidRPr="00C41652">
        <w:rPr>
          <w:color w:val="FF0000"/>
          <w:vertAlign w:val="superscript"/>
          <w:lang w:val="en-US"/>
        </w:rPr>
        <w:t>12</w:t>
      </w:r>
    </w:p>
    <w:p w14:paraId="6FCE1F60" w14:textId="59387228" w:rsidR="00990B2A" w:rsidRPr="00990B2A" w:rsidRDefault="00990B2A" w:rsidP="00990B2A">
      <w:pPr>
        <w:rPr>
          <w:lang w:val="en-US"/>
        </w:rPr>
      </w:pPr>
      <w:r w:rsidRPr="00990B2A">
        <w:rPr>
          <w:lang w:val="en-US"/>
        </w:rPr>
        <w:t xml:space="preserve">The Vietnamese finance literature lacks comprehensive studies addressing endogeneity with long-term unbalanced panel data, which this study addresses by empirically testing Trade-off, Pecking Order, Agency, and Signaling theories in the Vietnamese context, using advanced </w:t>
      </w:r>
      <w:r w:rsidRPr="00990B2A">
        <w:rPr>
          <w:lang w:val="en-US"/>
        </w:rPr>
        <w:t xml:space="preserve">techniques like GMM for robustness. This study contributes theoretically by refining prior theories (e.g., extending Agency Theory to show amplified costs in emerging markets with weak institutions). Empirically, it utilizes a large dataset (9,555 obs. over 17 years) to </w:t>
      </w:r>
      <w:r w:rsidRPr="0011284E">
        <w:rPr>
          <w:color w:val="FF0000"/>
          <w:lang w:val="en-US"/>
        </w:rPr>
        <w:t xml:space="preserve">build upon and extend </w:t>
      </w:r>
      <w:r w:rsidRPr="00990B2A">
        <w:rPr>
          <w:lang w:val="en-US"/>
        </w:rPr>
        <w:t>earlier research</w:t>
      </w:r>
      <w:r w:rsidR="00C41652" w:rsidRPr="00C41652">
        <w:rPr>
          <w:color w:val="FF0000"/>
          <w:vertAlign w:val="superscript"/>
          <w:lang w:val="en-US"/>
        </w:rPr>
        <w:t>14,8,15,16</w:t>
      </w:r>
      <w:r w:rsidRPr="00990B2A">
        <w:rPr>
          <w:lang w:val="en-US"/>
        </w:rPr>
        <w:t>, addressing gaps in endogeneity handling and panel bias. Practically, findings inform policymakers on leverage management in post-COVID and high-inflation contexts in Vietnam. 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w:t>
      </w:r>
      <w:r>
        <w:rPr>
          <w:lang w:val="en-US"/>
        </w:rPr>
        <w:t>.</w:t>
      </w:r>
    </w:p>
    <w:p w14:paraId="0B92BE3C" w14:textId="2A9FA22A" w:rsidR="00657418" w:rsidRPr="00D875A4" w:rsidRDefault="00EA4B92" w:rsidP="00EA4B92">
      <w:pPr>
        <w:pStyle w:val="Heading1"/>
      </w:pPr>
      <w:bookmarkStart w:id="1" w:name="_heading=h.30j0zll" w:colFirst="0" w:colLast="0"/>
      <w:bookmarkEnd w:id="1"/>
      <w:r w:rsidRPr="00D875A4">
        <w:rPr>
          <w:lang w:val="en-US"/>
        </w:rPr>
        <w:t xml:space="preserve">2. </w:t>
      </w:r>
      <w:r w:rsidR="007F6984" w:rsidRPr="00D875A4">
        <w:t xml:space="preserve">LITERATURE REVIEW </w:t>
      </w:r>
    </w:p>
    <w:p w14:paraId="14A71BFC" w14:textId="04D9CF76" w:rsidR="00121193" w:rsidRPr="00D875A4" w:rsidRDefault="00121193" w:rsidP="00EA4B92">
      <w:pPr>
        <w:pStyle w:val="Heading2"/>
        <w:rPr>
          <w:b w:val="0"/>
          <w:bCs w:val="0"/>
        </w:rPr>
      </w:pPr>
      <w:r w:rsidRPr="00D875A4">
        <w:rPr>
          <w:b w:val="0"/>
          <w:bCs w:val="0"/>
        </w:rPr>
        <w:t xml:space="preserve">The literature on capital structure and firm performance is extensive yet inconclusive, with theoretical frameworks providing foundational explanations for observed relationships, while empirical studies reveal contextual variations, particularly between developed and emerging </w:t>
      </w:r>
      <w:r w:rsidRPr="00D875A4">
        <w:rPr>
          <w:b w:val="0"/>
          <w:bCs w:val="0"/>
        </w:rPr>
        <w:lastRenderedPageBreak/>
        <w:t xml:space="preserve">markets. This section critically reviews key theories, highlighting their mechanisms, limitations, and applicability to Vietnam's emerging economy - characterized by high macroeconomic volatility, weak institutional frameworks, and limited financial market depth (World Bank, 2022). By articulating how these theories support our hypothesis of a negative leverage-performance nexus and linking them to empirical findings, we demonstrate the study's </w:t>
      </w:r>
      <w:r w:rsidR="00EF2F41" w:rsidRPr="00EF2F41">
        <w:rPr>
          <w:b w:val="0"/>
          <w:bCs w:val="0"/>
          <w:color w:val="FF0000"/>
        </w:rPr>
        <w:t xml:space="preserve">additional insights </w:t>
      </w:r>
      <w:r w:rsidRPr="00D875A4">
        <w:rPr>
          <w:b w:val="0"/>
          <w:bCs w:val="0"/>
        </w:rPr>
        <w:t>in addressing unresolved gaps, such as endogeneity and sectoral heterogeneity, using advanced methods like System GMM.</w:t>
      </w:r>
    </w:p>
    <w:p w14:paraId="5FCD5AA4" w14:textId="647C6E7A" w:rsidR="00DC033F" w:rsidRPr="00D875A4" w:rsidRDefault="00EA4B92" w:rsidP="00EA4B92">
      <w:pPr>
        <w:pStyle w:val="Heading2"/>
      </w:pPr>
      <w:r w:rsidRPr="00D875A4">
        <w:t xml:space="preserve">2.1. </w:t>
      </w:r>
      <w:r w:rsidR="00DC033F" w:rsidRPr="00D875A4">
        <w:t>Financial leverage</w:t>
      </w:r>
    </w:p>
    <w:p w14:paraId="345468C9" w14:textId="6F083A26" w:rsidR="00DC033F" w:rsidRPr="00D875A4" w:rsidRDefault="009D14AF" w:rsidP="00EA4B92">
      <w:pPr>
        <w:rPr>
          <w:lang w:val="en-US"/>
        </w:rPr>
      </w:pPr>
      <w:r w:rsidRPr="00D875A4">
        <w:rPr>
          <w:lang w:val="en-US"/>
        </w:rPr>
        <w:t>Financial leverage refers to a firm's use of debt to finance assets, amplifying returns but also risks</w:t>
      </w:r>
      <w:r w:rsidR="00C56865" w:rsidRPr="00C56865">
        <w:rPr>
          <w:color w:val="FF0000"/>
          <w:vertAlign w:val="superscript"/>
          <w:lang w:val="en-US"/>
        </w:rPr>
        <w:t>10</w:t>
      </w:r>
      <w:r w:rsidRPr="00D875A4">
        <w:rPr>
          <w:lang w:val="en-US"/>
        </w:rPr>
        <w:t>. Critically, while leverage offers tax shields, it can lead to financial distress in imperfect markets, especially emerging ones like Vietnam, where high borrowing costs (averaging 7-10% annually) and asymmetric information exacerbate agency problems</w:t>
      </w:r>
      <w:r w:rsidR="00C56865" w:rsidRPr="00C56865">
        <w:rPr>
          <w:color w:val="FF0000"/>
          <w:vertAlign w:val="superscript"/>
          <w:lang w:val="en-US"/>
        </w:rPr>
        <w:t>18</w:t>
      </w:r>
      <w:r w:rsidRPr="00D875A4">
        <w:rPr>
          <w:lang w:val="en-US"/>
        </w:rPr>
        <w:t>. Prior studies often overlook these contextual risks, leading to overgeneralized positive effects; our analysis refines this by empirically showing distress costs dominate, supporting a cautious leverage approach.</w:t>
      </w:r>
    </w:p>
    <w:p w14:paraId="204D4DBD" w14:textId="79240A3C" w:rsidR="00B763A2" w:rsidRPr="00D875A4" w:rsidRDefault="00EA4B92" w:rsidP="00EA4B92">
      <w:pPr>
        <w:pStyle w:val="Heading2"/>
      </w:pPr>
      <w:r w:rsidRPr="00D875A4">
        <w:t xml:space="preserve">2.2. </w:t>
      </w:r>
      <w:r w:rsidR="00B763A2" w:rsidRPr="00D875A4">
        <w:t>Trade-off theory</w:t>
      </w:r>
    </w:p>
    <w:p w14:paraId="7159299B" w14:textId="6FE8F5A0" w:rsidR="001738B2" w:rsidRPr="00D875A4" w:rsidRDefault="008D4CB4" w:rsidP="00EA4B92">
      <w:pPr>
        <w:pStyle w:val="Content"/>
        <w:rPr>
          <w:lang w:val="en-US"/>
        </w:rPr>
      </w:pPr>
      <w:r w:rsidRPr="00D875A4">
        <w:t>Trade-off theory posits that firms optimize capital structure by balancing debt's tax advantages against bankruptcy and agency costs</w:t>
      </w:r>
      <w:r w:rsidR="00887359" w:rsidRPr="00887359">
        <w:rPr>
          <w:color w:val="FF0000"/>
          <w:vertAlign w:val="superscript"/>
          <w:lang w:val="en-US"/>
        </w:rPr>
        <w:t>7</w:t>
      </w:r>
      <w:r w:rsidRPr="00D875A4">
        <w:t>. However, critics argue it assumes static conditions, ignoring dynamic market frictions</w:t>
      </w:r>
      <w:r w:rsidR="00AB4825" w:rsidRPr="00AB4825">
        <w:rPr>
          <w:color w:val="FF0000"/>
          <w:vertAlign w:val="superscript"/>
          <w:lang w:val="en-US"/>
        </w:rPr>
        <w:t>12</w:t>
      </w:r>
      <w:r w:rsidRPr="00D875A4">
        <w:t>. In emerging markets, high volatility amplifies bankruptcy risks, often outweighing tax benefits</w:t>
      </w:r>
      <w:r w:rsidRPr="00D875A4">
        <w:rPr>
          <w:lang w:val="en-US"/>
        </w:rPr>
        <w:t xml:space="preserve"> - </w:t>
      </w:r>
      <w:r w:rsidRPr="00D875A4">
        <w:t>as evidenced in Vietnam, where interest rate fluctuations (4-9% in 2020-2022) and weak legal enforcement elevate distress costs</w:t>
      </w:r>
      <w:r w:rsidR="003460A6" w:rsidRPr="003460A6">
        <w:rPr>
          <w:color w:val="FF0000"/>
          <w:vertAlign w:val="superscript"/>
          <w:lang w:val="en-US"/>
        </w:rPr>
        <w:t>8</w:t>
      </w:r>
      <w:r w:rsidRPr="00D875A4">
        <w:t>. This mechanism underpins our negative hypothesis: leverage reduces performance when costs dominate. Our GMM results (-0.142* for ROA) directly link to this, confirming cost dominance in unstable contexts and extending the theory beyond developed markets</w:t>
      </w:r>
      <w:r w:rsidR="001738B2" w:rsidRPr="00D875A4">
        <w:rPr>
          <w:lang w:val="en-US"/>
        </w:rPr>
        <w:t>.</w:t>
      </w:r>
    </w:p>
    <w:p w14:paraId="19A682E1" w14:textId="782B3FF7" w:rsidR="00B763A2" w:rsidRPr="00D875A4" w:rsidRDefault="00EA4B92" w:rsidP="00EA4B92">
      <w:pPr>
        <w:pStyle w:val="Heading2"/>
      </w:pPr>
      <w:r w:rsidRPr="00D875A4">
        <w:t xml:space="preserve">2.3 </w:t>
      </w:r>
      <w:r w:rsidR="00B763A2" w:rsidRPr="00D875A4">
        <w:t>Pecking Order Theory</w:t>
      </w:r>
    </w:p>
    <w:p w14:paraId="1E45C3D8" w14:textId="6BA7F4B5" w:rsidR="00657418" w:rsidRPr="00D875A4" w:rsidRDefault="00CF10BF" w:rsidP="00EA4B92">
      <w:pPr>
        <w:pStyle w:val="Content"/>
        <w:rPr>
          <w:lang w:val="en-US"/>
        </w:rPr>
      </w:pPr>
      <w:r w:rsidRPr="00D875A4">
        <w:rPr>
          <w:lang w:val="en-US"/>
        </w:rPr>
        <w:t>Pecking Order Theory suggests firms prefer internal financing, then debt, over equity due to information asymmetry costs</w:t>
      </w:r>
      <w:r w:rsidR="006501A9" w:rsidRPr="006501A9">
        <w:rPr>
          <w:color w:val="FF0000"/>
          <w:vertAlign w:val="superscript"/>
          <w:lang w:val="en-US"/>
        </w:rPr>
        <w:t>13</w:t>
      </w:r>
      <w:r w:rsidRPr="00D875A4">
        <w:rPr>
          <w:lang w:val="en-US"/>
        </w:rPr>
        <w:t>. A key critique is its neglect of tax shields and overemphasis on asymmetry, which may not hold in markets with abundant cheap debt</w:t>
      </w:r>
      <w:r w:rsidR="006501A9" w:rsidRPr="006501A9">
        <w:rPr>
          <w:color w:val="FF0000"/>
          <w:vertAlign w:val="superscript"/>
          <w:lang w:val="en-US"/>
        </w:rPr>
        <w:t>11</w:t>
      </w:r>
      <w:r w:rsidRPr="00D875A4">
        <w:rPr>
          <w:lang w:val="en-US"/>
        </w:rPr>
        <w:t xml:space="preserve">. In Vietnam's underdeveloped markets with opaque disclosures, high leverage heightens adverse selection, increasing capital costs and harming </w:t>
      </w:r>
      <w:r w:rsidRPr="00D875A4">
        <w:rPr>
          <w:lang w:val="en-US"/>
        </w:rPr>
        <w:t>performance</w:t>
      </w:r>
      <w:r w:rsidR="006501A9" w:rsidRPr="006501A9">
        <w:rPr>
          <w:color w:val="FF0000"/>
          <w:vertAlign w:val="superscript"/>
          <w:lang w:val="en-US"/>
        </w:rPr>
        <w:t>14</w:t>
      </w:r>
      <w:r w:rsidRPr="00D875A4">
        <w:rPr>
          <w:lang w:val="en-US"/>
        </w:rPr>
        <w:t>. This elucidates our hypothesis through asymmetry mechanisms, as our robust negative estimates across ROA, ROE, and EPS (-0.138* in 2SLS) validate</w:t>
      </w:r>
      <w:r w:rsidR="00535A28" w:rsidRPr="00D875A4">
        <w:rPr>
          <w:lang w:val="en-US"/>
        </w:rPr>
        <w:t xml:space="preserve"> - </w:t>
      </w:r>
      <w:r w:rsidRPr="00D875A4">
        <w:rPr>
          <w:lang w:val="en-US"/>
        </w:rPr>
        <w:t>advancing the theory by quantifying effects in a high-volatility setting.</w:t>
      </w:r>
    </w:p>
    <w:p w14:paraId="738967BF" w14:textId="6BF70414" w:rsidR="00B92AD3" w:rsidRPr="00D875A4" w:rsidRDefault="00B92AD3" w:rsidP="00EA4B92">
      <w:pPr>
        <w:pStyle w:val="Heading2"/>
      </w:pPr>
      <w:r w:rsidRPr="00D875A4">
        <w:t>2.4 Agency Theory</w:t>
      </w:r>
    </w:p>
    <w:p w14:paraId="795DF455" w14:textId="4BC2105F" w:rsidR="00B92AD3" w:rsidRPr="00D875A4" w:rsidRDefault="00A94201" w:rsidP="00EA4B92">
      <w:pPr>
        <w:pStyle w:val="Content"/>
        <w:rPr>
          <w:lang w:val="en-US"/>
        </w:rPr>
      </w:pPr>
      <w:r w:rsidRPr="00D875A4">
        <w:rPr>
          <w:lang w:val="en-US"/>
        </w:rPr>
        <w:t>Agency Theory argues debt disciplines managers by reducing free cash flow but can amplify conflicts between shareholders and debtholders in weak governance environments</w:t>
      </w:r>
      <w:r w:rsidR="00764DB9" w:rsidRPr="00764DB9">
        <w:rPr>
          <w:color w:val="FF0000"/>
          <w:vertAlign w:val="superscript"/>
          <w:lang w:val="en-US"/>
        </w:rPr>
        <w:t>5</w:t>
      </w:r>
      <w:r w:rsidRPr="00D875A4">
        <w:rPr>
          <w:lang w:val="en-US"/>
        </w:rPr>
        <w:t>. Limitations include assuming rational agents, ignoring behavioral biases</w:t>
      </w:r>
      <w:r w:rsidR="00764DB9" w:rsidRPr="00764DB9">
        <w:rPr>
          <w:color w:val="FF0000"/>
          <w:vertAlign w:val="superscript"/>
          <w:lang w:val="en-US"/>
        </w:rPr>
        <w:t>2</w:t>
      </w:r>
      <w:r w:rsidRPr="00D875A4">
        <w:rPr>
          <w:lang w:val="en-US"/>
        </w:rPr>
        <w:t>. In Vietnam, concentrated state ownership and poor monitoring exacerbate entrenchment, with leverage increasing monitoring costs and default risks</w:t>
      </w:r>
      <w:r w:rsidR="00764DB9" w:rsidRPr="00764DB9">
        <w:rPr>
          <w:color w:val="FF0000"/>
          <w:vertAlign w:val="superscript"/>
          <w:lang w:val="en-US"/>
        </w:rPr>
        <w:t>15</w:t>
      </w:r>
      <w:r w:rsidRPr="00D875A4">
        <w:rPr>
          <w:lang w:val="en-US"/>
        </w:rPr>
        <w:t>. This supports our hypothesis by showing amplified conflicts in emerging contexts; our findings of stronger negatives in high-leverage subsamples align, refining the theory through Vietnam-specific evidence and heterogeneity analyses.</w:t>
      </w:r>
    </w:p>
    <w:p w14:paraId="24735B17" w14:textId="267B7DA3" w:rsidR="00B92AD3" w:rsidRPr="00D875A4" w:rsidRDefault="00B92AD3" w:rsidP="00EA4B92">
      <w:pPr>
        <w:pStyle w:val="Heading2"/>
      </w:pPr>
      <w:r w:rsidRPr="00D875A4">
        <w:t>2.5</w:t>
      </w:r>
      <w:r w:rsidR="00EA4B92" w:rsidRPr="00D875A4">
        <w:t>.</w:t>
      </w:r>
      <w:r w:rsidRPr="00D875A4">
        <w:t xml:space="preserve"> Signaling Theory</w:t>
      </w:r>
    </w:p>
    <w:p w14:paraId="49C533C1" w14:textId="225E3051" w:rsidR="00B92AD3" w:rsidRPr="00D875A4" w:rsidRDefault="00382E00" w:rsidP="00EA4B92">
      <w:pPr>
        <w:pStyle w:val="Content"/>
        <w:rPr>
          <w:lang w:val="en-US"/>
        </w:rPr>
      </w:pPr>
      <w:r w:rsidRPr="00D875A4">
        <w:rPr>
          <w:lang w:val="en-US"/>
        </w:rPr>
        <w:t>Signaling Theory views leverage as a signal of firm quality, with high debt indicating confidence in cash flows</w:t>
      </w:r>
      <w:r w:rsidR="00B11A61" w:rsidRPr="00B11A61">
        <w:rPr>
          <w:color w:val="FF0000"/>
          <w:vertAlign w:val="superscript"/>
          <w:lang w:val="en-US"/>
        </w:rPr>
        <w:t>17</w:t>
      </w:r>
      <w:r w:rsidRPr="00D875A4">
        <w:rPr>
          <w:lang w:val="en-US"/>
        </w:rPr>
        <w:t>. However, in volatile markets, it may signal distress, deterring investors - a critique often overlooked in stable economy studies</w:t>
      </w:r>
      <w:r w:rsidR="00B11A61" w:rsidRPr="00B11A61">
        <w:rPr>
          <w:color w:val="FF0000"/>
          <w:vertAlign w:val="superscript"/>
          <w:lang w:val="en-US"/>
        </w:rPr>
        <w:t>6</w:t>
      </w:r>
      <w:r w:rsidRPr="00D875A4">
        <w:rPr>
          <w:lang w:val="en-US"/>
        </w:rPr>
        <w:t>. Vietnam's economic uncertainty (inflation 4-6% in 2022-2025) makes high leverage a negative signal, reducing access to capital and performance. This explains our hypothesis via signaling mechanisms; empirical results showing post-COVID amplified negatives confirm this, persuasively extending the theory to emerging markets with our large panel and non-linear insights.</w:t>
      </w:r>
    </w:p>
    <w:p w14:paraId="22984C89" w14:textId="76A1565F" w:rsidR="00B763A2" w:rsidRPr="00D875A4" w:rsidRDefault="00EA4B92" w:rsidP="00EA4B92">
      <w:pPr>
        <w:pStyle w:val="Heading2"/>
      </w:pPr>
      <w:r w:rsidRPr="00D875A4">
        <w:t xml:space="preserve">2.6. </w:t>
      </w:r>
      <w:r w:rsidR="00B763A2" w:rsidRPr="00D875A4">
        <w:t xml:space="preserve">Empirical evidence </w:t>
      </w:r>
    </w:p>
    <w:p w14:paraId="5D46B73D" w14:textId="6AB98936" w:rsidR="0059656A" w:rsidRPr="00D875A4" w:rsidRDefault="0059656A" w:rsidP="0059656A">
      <w:pPr>
        <w:pStyle w:val="Content"/>
        <w:rPr>
          <w:sz w:val="24"/>
          <w:szCs w:val="24"/>
          <w:lang w:val="en-US"/>
        </w:rPr>
      </w:pPr>
      <w:r w:rsidRPr="00D875A4">
        <w:rPr>
          <w:sz w:val="24"/>
          <w:szCs w:val="24"/>
          <w:lang w:val="en-US"/>
        </w:rPr>
        <w:t>Empirical studies on leverage and performance yield mixed results, underscoring the need for context-specific analysis. In developed markets, positive relationships prevail due to efficient institutions</w:t>
      </w:r>
      <w:r w:rsidR="00AA7CDC">
        <w:rPr>
          <w:sz w:val="24"/>
          <w:szCs w:val="24"/>
          <w:lang w:val="en-US"/>
        </w:rPr>
        <w:t>. The research group</w:t>
      </w:r>
      <w:r w:rsidR="00AA7CDC" w:rsidRPr="00AA7CDC">
        <w:rPr>
          <w:color w:val="FF0000"/>
          <w:sz w:val="24"/>
          <w:szCs w:val="24"/>
          <w:vertAlign w:val="superscript"/>
          <w:lang w:val="en-US"/>
        </w:rPr>
        <w:t>9</w:t>
      </w:r>
      <w:r w:rsidRPr="00D875A4">
        <w:rPr>
          <w:sz w:val="24"/>
          <w:szCs w:val="24"/>
          <w:lang w:val="en-US"/>
        </w:rPr>
        <w:t xml:space="preserve"> found leverage enhances efficiency in French firms via DEA and Tobit models, attributing it to tax shields and discipline. Similarly, </w:t>
      </w:r>
      <w:r w:rsidR="007613F8">
        <w:rPr>
          <w:sz w:val="24"/>
          <w:szCs w:val="24"/>
          <w:lang w:val="en-US"/>
        </w:rPr>
        <w:t>the author</w:t>
      </w:r>
      <w:r w:rsidR="007613F8" w:rsidRPr="007613F8">
        <w:rPr>
          <w:color w:val="FF0000"/>
          <w:sz w:val="24"/>
          <w:szCs w:val="24"/>
          <w:vertAlign w:val="superscript"/>
          <w:lang w:val="en-US"/>
        </w:rPr>
        <w:t>1</w:t>
      </w:r>
      <w:r w:rsidRPr="00D875A4">
        <w:rPr>
          <w:sz w:val="24"/>
          <w:szCs w:val="24"/>
          <w:lang w:val="en-US"/>
        </w:rPr>
        <w:t xml:space="preserve"> reported positives in Ghana, though in a relatively stable African context. Critically, these overlook emerging market frictions, leading to overoptimism about debt benefits.</w:t>
      </w:r>
    </w:p>
    <w:p w14:paraId="0C479A2B" w14:textId="1D0F549A" w:rsidR="00BE4953" w:rsidRPr="00BE4953" w:rsidRDefault="00BE4953" w:rsidP="00BE4953">
      <w:pPr>
        <w:pStyle w:val="Content"/>
        <w:rPr>
          <w:sz w:val="24"/>
          <w:szCs w:val="24"/>
          <w:lang w:val="en-US"/>
        </w:rPr>
      </w:pPr>
      <w:r w:rsidRPr="00BE4953">
        <w:rPr>
          <w:sz w:val="24"/>
          <w:szCs w:val="24"/>
          <w:lang w:val="en-US"/>
        </w:rPr>
        <w:t xml:space="preserve">Conversely, emerging market evidence often shows negatives: </w:t>
      </w:r>
      <w:r>
        <w:rPr>
          <w:sz w:val="24"/>
          <w:szCs w:val="24"/>
          <w:lang w:val="en-US"/>
        </w:rPr>
        <w:t>the study</w:t>
      </w:r>
      <w:r w:rsidRPr="00BE4953">
        <w:rPr>
          <w:color w:val="FF0000"/>
          <w:sz w:val="24"/>
          <w:szCs w:val="24"/>
          <w:vertAlign w:val="superscript"/>
          <w:lang w:val="en-US"/>
        </w:rPr>
        <w:t>2</w:t>
      </w:r>
      <w:r w:rsidRPr="00BE4953">
        <w:rPr>
          <w:sz w:val="24"/>
          <w:szCs w:val="24"/>
          <w:lang w:val="en-US"/>
        </w:rPr>
        <w:t xml:space="preserve"> analyzed Indian </w:t>
      </w:r>
      <w:r w:rsidRPr="00BE4953">
        <w:rPr>
          <w:sz w:val="24"/>
          <w:szCs w:val="24"/>
          <w:lang w:val="en-US"/>
        </w:rPr>
        <w:lastRenderedPageBreak/>
        <w:t xml:space="preserve">firms, revealing higher leverage reduces performance via agency costs in a panel regression. </w:t>
      </w:r>
      <w:r w:rsidR="009D4A7A">
        <w:rPr>
          <w:sz w:val="24"/>
          <w:szCs w:val="24"/>
          <w:lang w:val="en-US"/>
        </w:rPr>
        <w:t>The author</w:t>
      </w:r>
      <w:r w:rsidR="009D4A7A" w:rsidRPr="009D4A7A">
        <w:rPr>
          <w:color w:val="FF0000"/>
          <w:sz w:val="24"/>
          <w:szCs w:val="24"/>
          <w:vertAlign w:val="superscript"/>
          <w:lang w:val="en-US"/>
        </w:rPr>
        <w:t>3</w:t>
      </w:r>
      <w:r w:rsidRPr="00BE4953">
        <w:rPr>
          <w:sz w:val="24"/>
          <w:szCs w:val="24"/>
          <w:lang w:val="en-US"/>
        </w:rPr>
        <w:t xml:space="preserve"> confirmed negatives in Korea (2000-2015 data), linking to default risks. In Vietnam, </w:t>
      </w:r>
      <w:r w:rsidR="009D4A7A">
        <w:rPr>
          <w:sz w:val="24"/>
          <w:szCs w:val="24"/>
          <w:lang w:val="en-US"/>
        </w:rPr>
        <w:t>the research group</w:t>
      </w:r>
      <w:r w:rsidR="009D4A7A" w:rsidRPr="009D4A7A">
        <w:rPr>
          <w:color w:val="FF0000"/>
          <w:sz w:val="24"/>
          <w:szCs w:val="24"/>
          <w:vertAlign w:val="superscript"/>
          <w:lang w:val="en-US"/>
        </w:rPr>
        <w:t>8</w:t>
      </w:r>
      <w:r w:rsidRPr="00BE4953">
        <w:rPr>
          <w:sz w:val="24"/>
          <w:szCs w:val="24"/>
          <w:lang w:val="en-US"/>
        </w:rPr>
        <w:t xml:space="preserve"> used 2007-2012 unbalanced panels to demonstrate all debt ratios negatively affect performance, arguing tax savings&lt;distress costs in transitional economies. </w:t>
      </w:r>
      <w:r w:rsidR="002F6E89">
        <w:rPr>
          <w:sz w:val="24"/>
          <w:szCs w:val="24"/>
          <w:lang w:val="en-US"/>
        </w:rPr>
        <w:t>The rsearchers</w:t>
      </w:r>
      <w:r w:rsidR="002F6E89" w:rsidRPr="002F6E89">
        <w:rPr>
          <w:color w:val="FF0000"/>
          <w:sz w:val="24"/>
          <w:szCs w:val="24"/>
          <w:vertAlign w:val="superscript"/>
          <w:lang w:val="en-US"/>
        </w:rPr>
        <w:t>14</w:t>
      </w:r>
      <w:r w:rsidRPr="00BE4953">
        <w:rPr>
          <w:sz w:val="24"/>
          <w:szCs w:val="24"/>
          <w:lang w:val="en-US"/>
        </w:rPr>
        <w:t xml:space="preserve"> echoed this with OLS on 2010-2018 data, noting negatives on ROA without endogeneity controls - a gap our GMM addresses. </w:t>
      </w:r>
      <w:r w:rsidR="002F6E89">
        <w:rPr>
          <w:sz w:val="24"/>
          <w:szCs w:val="24"/>
          <w:lang w:val="en-US"/>
        </w:rPr>
        <w:t>The study</w:t>
      </w:r>
      <w:r w:rsidR="002F6E89" w:rsidRPr="002F6E89">
        <w:rPr>
          <w:color w:val="FF0000"/>
          <w:sz w:val="24"/>
          <w:szCs w:val="24"/>
          <w:vertAlign w:val="superscript"/>
          <w:lang w:val="en-US"/>
        </w:rPr>
        <w:t>8</w:t>
      </w:r>
      <w:r w:rsidRPr="00BE4953">
        <w:rPr>
          <w:sz w:val="24"/>
          <w:szCs w:val="24"/>
          <w:lang w:val="en-US"/>
        </w:rPr>
        <w:t xml:space="preserve"> extended to firm value, finding higher debt increases bankruptcy risks, reducing Tobin's Q. </w:t>
      </w:r>
      <w:r w:rsidR="002F6E89">
        <w:rPr>
          <w:sz w:val="24"/>
          <w:szCs w:val="24"/>
          <w:lang w:val="en-US"/>
        </w:rPr>
        <w:t>The study</w:t>
      </w:r>
      <w:r w:rsidR="002F6E89" w:rsidRPr="002F6E89">
        <w:rPr>
          <w:color w:val="FF0000"/>
          <w:sz w:val="24"/>
          <w:szCs w:val="24"/>
          <w:vertAlign w:val="superscript"/>
          <w:lang w:val="en-US"/>
        </w:rPr>
        <w:t>15</w:t>
      </w:r>
      <w:r w:rsidRPr="00BE4953">
        <w:rPr>
          <w:sz w:val="24"/>
          <w:szCs w:val="24"/>
          <w:lang w:val="en-US"/>
        </w:rPr>
        <w:t xml:space="preserve"> focused on state-invested firms, showing leverage erodes value through agency issues. </w:t>
      </w:r>
      <w:r w:rsidR="0054332C">
        <w:rPr>
          <w:sz w:val="24"/>
          <w:szCs w:val="24"/>
          <w:lang w:val="en-US"/>
        </w:rPr>
        <w:t>The research group</w:t>
      </w:r>
      <w:r w:rsidR="0054332C" w:rsidRPr="0054332C">
        <w:rPr>
          <w:color w:val="FF0000"/>
          <w:sz w:val="24"/>
          <w:szCs w:val="24"/>
          <w:vertAlign w:val="superscript"/>
          <w:lang w:val="en-US"/>
        </w:rPr>
        <w:t>16</w:t>
      </w:r>
      <w:r w:rsidRPr="00BE4953">
        <w:rPr>
          <w:sz w:val="24"/>
          <w:szCs w:val="24"/>
          <w:lang w:val="en-US"/>
        </w:rPr>
        <w:t xml:space="preserve"> incorporated audit quality, revealing negatives moderated by Big 4 audits in manufacturing - highlighting heterogeneity our subsamples explore.</w:t>
      </w:r>
    </w:p>
    <w:p w14:paraId="23E6252F" w14:textId="31F22689" w:rsidR="00BE4953" w:rsidRPr="00D875A4" w:rsidRDefault="00BE4953" w:rsidP="00BE4953">
      <w:pPr>
        <w:pStyle w:val="Content"/>
        <w:rPr>
          <w:sz w:val="24"/>
          <w:szCs w:val="24"/>
          <w:lang w:val="en-US"/>
        </w:rPr>
      </w:pPr>
      <w:r w:rsidRPr="00BE4953">
        <w:rPr>
          <w:sz w:val="24"/>
          <w:szCs w:val="24"/>
          <w:lang w:val="en-US"/>
        </w:rPr>
        <w:t>These divergences stem from institutional differences: positives in developed/stable markets (e.g., [1]) vs. negatives in volatile emerging ones (e.g., [8]) due to amplified costs. Our study persuasively bridges this by using a 17-year panel, controlling endogeneity, and adding non-linear/sectoral analyses - extending prior confirmatory work and refining theories for Vietnam.</w:t>
      </w:r>
    </w:p>
    <w:p w14:paraId="22AF2AAC" w14:textId="1A90395F" w:rsidR="00C166A0" w:rsidRPr="00D875A4" w:rsidRDefault="00C166A0" w:rsidP="00EA4B92">
      <w:pPr>
        <w:pStyle w:val="Content"/>
        <w:rPr>
          <w:sz w:val="24"/>
          <w:szCs w:val="24"/>
          <w:lang w:val="en-US"/>
        </w:rPr>
      </w:pPr>
      <w:r w:rsidRPr="00D875A4">
        <w:rPr>
          <w:sz w:val="24"/>
          <w:szCs w:val="24"/>
          <w:lang w:val="en-US"/>
        </w:rPr>
        <w:t>In congruence with these Vietnam-focused studies, the following hypothesis is proposed:</w:t>
      </w:r>
    </w:p>
    <w:p w14:paraId="4F8D5E69" w14:textId="099D995F" w:rsidR="00657418" w:rsidRPr="00D875A4" w:rsidRDefault="00401706" w:rsidP="00EA4B92">
      <w:pPr>
        <w:pStyle w:val="Content"/>
      </w:pPr>
      <w:r w:rsidRPr="00D875A4">
        <w:rPr>
          <w:bCs/>
          <w:lang w:val="en-US"/>
        </w:rPr>
        <w:t>H</w:t>
      </w:r>
      <w:r w:rsidRPr="00D875A4">
        <w:rPr>
          <w:lang w:val="en-US"/>
        </w:rPr>
        <w:t xml:space="preserve">: </w:t>
      </w:r>
      <w:r w:rsidR="007F4CD4" w:rsidRPr="00D875A4">
        <w:t>LEVERAGE HAS A NEGATIVE IMPACT ON FIRM PERFORMANCE</w:t>
      </w:r>
    </w:p>
    <w:p w14:paraId="258549A3" w14:textId="75592582" w:rsidR="00B763A2" w:rsidRPr="00D875A4" w:rsidRDefault="00EA4B92" w:rsidP="00EA4B92">
      <w:pPr>
        <w:pStyle w:val="Heading1"/>
      </w:pPr>
      <w:bookmarkStart w:id="2" w:name="_heading=h.3znysh7" w:colFirst="0" w:colLast="0"/>
      <w:bookmarkEnd w:id="2"/>
      <w:r w:rsidRPr="00D875A4">
        <w:rPr>
          <w:lang w:val="en-US"/>
        </w:rPr>
        <w:t xml:space="preserve">3. </w:t>
      </w:r>
      <w:r w:rsidR="007F6984" w:rsidRPr="00D875A4">
        <w:t>RESEARCH METHODS</w:t>
      </w:r>
    </w:p>
    <w:p w14:paraId="2957A2E9" w14:textId="41389CAA" w:rsidR="005A0C65" w:rsidRPr="001A7840" w:rsidRDefault="005A0C65" w:rsidP="00EA4B92">
      <w:pPr>
        <w:pStyle w:val="Heading2"/>
        <w:rPr>
          <w:b w:val="0"/>
          <w:bCs w:val="0"/>
          <w:color w:val="FF0000"/>
        </w:rPr>
      </w:pPr>
      <w:r w:rsidRPr="00D875A4">
        <w:rPr>
          <w:b w:val="0"/>
          <w:bCs w:val="0"/>
        </w:rPr>
        <w:t>This section outlines the econometric approach to empirically test the hypothesis that financial leverage negatively impacts firm performance in Vietnam's listed companies. Drawing on panel data econometrics</w:t>
      </w:r>
      <w:r w:rsidR="00F269E5" w:rsidRPr="00F269E5">
        <w:rPr>
          <w:b w:val="0"/>
          <w:bCs w:val="0"/>
          <w:color w:val="FF0000"/>
          <w:vertAlign w:val="superscript"/>
        </w:rPr>
        <w:t>19</w:t>
      </w:r>
      <w:r w:rsidRPr="00D875A4">
        <w:rPr>
          <w:b w:val="0"/>
          <w:bCs w:val="0"/>
        </w:rPr>
        <w:t>, we employ a multi-step strategy to address potential biases, including endogeneity, unobserved heterogeneity,</w:t>
      </w:r>
      <w:r w:rsidR="001A7840">
        <w:rPr>
          <w:b w:val="0"/>
          <w:bCs w:val="0"/>
        </w:rPr>
        <w:t xml:space="preserve"> </w:t>
      </w:r>
      <w:r w:rsidR="001A7840" w:rsidRPr="001A7840">
        <w:rPr>
          <w:b w:val="0"/>
          <w:bCs w:val="0"/>
          <w:color w:val="FF0000"/>
        </w:rPr>
        <w:t>reverse causality, and omitted variables</w:t>
      </w:r>
      <w:r w:rsidRPr="001A7840">
        <w:rPr>
          <w:b w:val="0"/>
          <w:bCs w:val="0"/>
          <w:color w:val="FF0000"/>
        </w:rPr>
        <w:t>.</w:t>
      </w:r>
    </w:p>
    <w:p w14:paraId="3F2C672E" w14:textId="77777777" w:rsidR="00A319D3" w:rsidRDefault="00EA4B92" w:rsidP="00A319D3">
      <w:pPr>
        <w:pStyle w:val="Heading2"/>
      </w:pPr>
      <w:r w:rsidRPr="00D875A4">
        <w:t xml:space="preserve">3.1 </w:t>
      </w:r>
      <w:r w:rsidR="00A319D3" w:rsidRPr="00A319D3">
        <w:t>Model Specification</w:t>
      </w:r>
    </w:p>
    <w:p w14:paraId="2E456BAC" w14:textId="589E1967" w:rsidR="00C16D76" w:rsidRPr="00A319D3" w:rsidRDefault="00A319D3" w:rsidP="00A319D3">
      <w:pPr>
        <w:pStyle w:val="Heading2"/>
        <w:rPr>
          <w:b w:val="0"/>
          <w:bCs w:val="0"/>
          <w:color w:val="FF0000"/>
        </w:rPr>
      </w:pPr>
      <w:r w:rsidRPr="00A319D3">
        <w:rPr>
          <w:b w:val="0"/>
          <w:bCs w:val="0"/>
          <w:color w:val="FF0000"/>
        </w:rPr>
        <w:t>The baseline model is specified as a dynamic panel to account for performance persistence: Performance</w:t>
      </w:r>
      <w:r w:rsidRPr="007D1CC8">
        <w:rPr>
          <w:b w:val="0"/>
          <w:bCs w:val="0"/>
          <w:color w:val="FF0000"/>
          <w:vertAlign w:val="subscript"/>
        </w:rPr>
        <w:t>i,t</w:t>
      </w:r>
      <w:r w:rsidRPr="00A319D3">
        <w:rPr>
          <w:b w:val="0"/>
          <w:bCs w:val="0"/>
          <w:color w:val="FF0000"/>
        </w:rPr>
        <w:t xml:space="preserve"> = α + β</w:t>
      </w:r>
      <w:r w:rsidRPr="007D1CC8">
        <w:rPr>
          <w:b w:val="0"/>
          <w:bCs w:val="0"/>
          <w:color w:val="FF0000"/>
          <w:vertAlign w:val="subscript"/>
        </w:rPr>
        <w:t>1</w:t>
      </w:r>
      <w:r w:rsidRPr="00A319D3">
        <w:rPr>
          <w:b w:val="0"/>
          <w:bCs w:val="0"/>
          <w:color w:val="FF0000"/>
        </w:rPr>
        <w:t>Performance</w:t>
      </w:r>
      <w:r w:rsidRPr="007D1CC8">
        <w:rPr>
          <w:b w:val="0"/>
          <w:bCs w:val="0"/>
          <w:color w:val="FF0000"/>
          <w:vertAlign w:val="subscript"/>
        </w:rPr>
        <w:t>i,t-1</w:t>
      </w:r>
      <w:r w:rsidRPr="00A319D3">
        <w:rPr>
          <w:b w:val="0"/>
          <w:bCs w:val="0"/>
          <w:color w:val="FF0000"/>
        </w:rPr>
        <w:t xml:space="preserve"> + β</w:t>
      </w:r>
      <w:r w:rsidRPr="007D1CC8">
        <w:rPr>
          <w:b w:val="0"/>
          <w:bCs w:val="0"/>
          <w:color w:val="FF0000"/>
          <w:vertAlign w:val="subscript"/>
        </w:rPr>
        <w:t>2</w:t>
      </w:r>
      <w:r w:rsidRPr="00A319D3">
        <w:rPr>
          <w:b w:val="0"/>
          <w:bCs w:val="0"/>
          <w:color w:val="FF0000"/>
        </w:rPr>
        <w:t xml:space="preserve"> Leverage</w:t>
      </w:r>
      <w:r w:rsidRPr="007D1CC8">
        <w:rPr>
          <w:b w:val="0"/>
          <w:bCs w:val="0"/>
          <w:color w:val="FF0000"/>
          <w:vertAlign w:val="subscript"/>
        </w:rPr>
        <w:t>i,t</w:t>
      </w:r>
      <w:r w:rsidRPr="00A319D3">
        <w:rPr>
          <w:b w:val="0"/>
          <w:bCs w:val="0"/>
          <w:color w:val="FF0000"/>
        </w:rPr>
        <w:t xml:space="preserve"> + β</w:t>
      </w:r>
      <w:r w:rsidRPr="007D1CC8">
        <w:rPr>
          <w:b w:val="0"/>
          <w:bCs w:val="0"/>
          <w:color w:val="FF0000"/>
          <w:vertAlign w:val="subscript"/>
        </w:rPr>
        <w:t>3</w:t>
      </w:r>
      <w:r w:rsidRPr="00A319D3">
        <w:rPr>
          <w:b w:val="0"/>
          <w:bCs w:val="0"/>
          <w:color w:val="FF0000"/>
        </w:rPr>
        <w:t>Leverage</w:t>
      </w:r>
      <w:r w:rsidRPr="007D1CC8">
        <w:rPr>
          <w:b w:val="0"/>
          <w:bCs w:val="0"/>
          <w:color w:val="FF0000"/>
          <w:vertAlign w:val="superscript"/>
        </w:rPr>
        <w:t>2</w:t>
      </w:r>
      <w:r w:rsidRPr="007D1CC8">
        <w:rPr>
          <w:b w:val="0"/>
          <w:bCs w:val="0"/>
          <w:color w:val="FF0000"/>
          <w:vertAlign w:val="subscript"/>
        </w:rPr>
        <w:t>i,t</w:t>
      </w:r>
      <w:r w:rsidRPr="00A319D3">
        <w:rPr>
          <w:b w:val="0"/>
          <w:bCs w:val="0"/>
          <w:color w:val="FF0000"/>
        </w:rPr>
        <w:t xml:space="preserve"> (for non-linear) + γ Controls</w:t>
      </w:r>
      <w:r w:rsidRPr="007D1CC8">
        <w:rPr>
          <w:b w:val="0"/>
          <w:bCs w:val="0"/>
          <w:color w:val="FF0000"/>
          <w:vertAlign w:val="subscript"/>
        </w:rPr>
        <w:t>i,t</w:t>
      </w:r>
      <w:r w:rsidRPr="00A319D3">
        <w:rPr>
          <w:b w:val="0"/>
          <w:bCs w:val="0"/>
          <w:color w:val="FF0000"/>
        </w:rPr>
        <w:t xml:space="preserve"> + μ</w:t>
      </w:r>
      <w:r w:rsidRPr="00DD4347">
        <w:rPr>
          <w:b w:val="0"/>
          <w:bCs w:val="0"/>
          <w:color w:val="FF0000"/>
          <w:vertAlign w:val="subscript"/>
        </w:rPr>
        <w:t>i</w:t>
      </w:r>
      <w:r w:rsidRPr="00A319D3">
        <w:rPr>
          <w:b w:val="0"/>
          <w:bCs w:val="0"/>
          <w:color w:val="FF0000"/>
        </w:rPr>
        <w:t xml:space="preserve"> + ε</w:t>
      </w:r>
      <w:r w:rsidRPr="00DD4347">
        <w:rPr>
          <w:b w:val="0"/>
          <w:bCs w:val="0"/>
          <w:color w:val="FF0000"/>
          <w:vertAlign w:val="subscript"/>
        </w:rPr>
        <w:t>i,t</w:t>
      </w:r>
      <w:r w:rsidRPr="00A319D3">
        <w:rPr>
          <w:b w:val="0"/>
          <w:bCs w:val="0"/>
          <w:color w:val="FF0000"/>
        </w:rPr>
        <w:t xml:space="preserve">, where Performance is </w:t>
      </w:r>
      <w:r w:rsidRPr="00A319D3">
        <w:rPr>
          <w:b w:val="0"/>
          <w:bCs w:val="0"/>
          <w:color w:val="FF0000"/>
        </w:rPr>
        <w:t>ROA/ROE/EPS, Leverage is debt-to-assets or debt-to-equity (endogenous), and Controls include size, growth, tangibility, liquidity, age. This corrects prior static specifications by including lagged dependent variables, ensuring dynamic effects are captured</w:t>
      </w:r>
      <w:r w:rsidRPr="00A319D3">
        <w:rPr>
          <w:b w:val="0"/>
          <w:bCs w:val="0"/>
          <w:color w:val="FF0000"/>
          <w:vertAlign w:val="superscript"/>
        </w:rPr>
        <w:t>19</w:t>
      </w:r>
      <w:r w:rsidRPr="00A319D3">
        <w:rPr>
          <w:b w:val="0"/>
          <w:bCs w:val="0"/>
          <w:color w:val="FF0000"/>
        </w:rPr>
        <w:t>. Sectoral heterogeneity is tested via subsamples and Chow tests.</w:t>
      </w:r>
    </w:p>
    <w:p w14:paraId="75FC9074" w14:textId="4716C775" w:rsidR="00020681" w:rsidRPr="00D875A4" w:rsidRDefault="00EA4B92" w:rsidP="00EA4B92">
      <w:pPr>
        <w:pStyle w:val="Heading2"/>
      </w:pPr>
      <w:r w:rsidRPr="00D875A4">
        <w:t xml:space="preserve">3.2. </w:t>
      </w:r>
      <w:r w:rsidR="00A319D3">
        <w:t>Data and sample</w:t>
      </w:r>
    </w:p>
    <w:p w14:paraId="6954B403" w14:textId="265DF5FA" w:rsidR="00A319D3" w:rsidRPr="00A319D3" w:rsidRDefault="00A319D3" w:rsidP="00EA4B92">
      <w:pPr>
        <w:pStyle w:val="Content"/>
        <w:rPr>
          <w:color w:val="FF0000"/>
        </w:rPr>
      </w:pPr>
      <w:r w:rsidRPr="00A319D3">
        <w:rPr>
          <w:color w:val="FF0000"/>
        </w:rPr>
        <w:t>Data from 749 non-financial listed firms (HOSE/HNX, 2006-2022) yield 9,555 observations, sourced from financial statements. Variable definitions are summarized in Table 1 to avoid repetition.</w:t>
      </w:r>
    </w:p>
    <w:p w14:paraId="7DB232EF" w14:textId="20E3AEE8" w:rsidR="00A319D3" w:rsidRDefault="00A319D3" w:rsidP="00EA4B92">
      <w:pPr>
        <w:pStyle w:val="Content"/>
        <w:rPr>
          <w:color w:val="FF0000"/>
        </w:rPr>
      </w:pPr>
      <w:r w:rsidRPr="00A319D3">
        <w:rPr>
          <w:color w:val="FF0000"/>
        </w:rPr>
        <w:t>Table 1: Variable Definitions and Measurements</w:t>
      </w:r>
    </w:p>
    <w:tbl>
      <w:tblPr>
        <w:tblW w:w="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7"/>
        <w:gridCol w:w="1103"/>
        <w:gridCol w:w="1460"/>
        <w:gridCol w:w="1092"/>
      </w:tblGrid>
      <w:tr w:rsidR="00325A97" w:rsidRPr="00325A97" w14:paraId="1FB5638B" w14:textId="77777777" w:rsidTr="00375C3B">
        <w:trPr>
          <w:trHeight w:val="545"/>
          <w:tblHeader/>
        </w:trPr>
        <w:tc>
          <w:tcPr>
            <w:tcW w:w="0" w:type="auto"/>
            <w:vAlign w:val="center"/>
            <w:hideMark/>
          </w:tcPr>
          <w:p w14:paraId="7E4375D1" w14:textId="77777777" w:rsidR="0048065F" w:rsidRPr="00325A97" w:rsidRDefault="0048065F" w:rsidP="0048065F">
            <w:pPr>
              <w:jc w:val="center"/>
              <w:rPr>
                <w:b/>
                <w:bCs/>
                <w:color w:val="FF0000"/>
                <w:sz w:val="24"/>
                <w:szCs w:val="24"/>
                <w:lang w:val="en-US"/>
              </w:rPr>
            </w:pPr>
            <w:r w:rsidRPr="00325A97">
              <w:rPr>
                <w:b/>
                <w:bCs/>
                <w:color w:val="FF0000"/>
                <w:sz w:val="24"/>
                <w:szCs w:val="24"/>
                <w:lang w:val="en-US"/>
              </w:rPr>
              <w:t>Variable</w:t>
            </w:r>
          </w:p>
        </w:tc>
        <w:tc>
          <w:tcPr>
            <w:tcW w:w="0" w:type="auto"/>
            <w:vAlign w:val="center"/>
            <w:hideMark/>
          </w:tcPr>
          <w:p w14:paraId="7D0BD932" w14:textId="77777777" w:rsidR="0048065F" w:rsidRPr="00325A97" w:rsidRDefault="0048065F" w:rsidP="0048065F">
            <w:pPr>
              <w:jc w:val="center"/>
              <w:rPr>
                <w:b/>
                <w:bCs/>
                <w:color w:val="FF0000"/>
                <w:sz w:val="24"/>
                <w:szCs w:val="24"/>
                <w:lang w:val="en-US"/>
              </w:rPr>
            </w:pPr>
            <w:r w:rsidRPr="00325A97">
              <w:rPr>
                <w:b/>
                <w:bCs/>
                <w:color w:val="FF0000"/>
                <w:sz w:val="24"/>
                <w:szCs w:val="24"/>
                <w:lang w:val="en-US"/>
              </w:rPr>
              <w:t>Definition</w:t>
            </w:r>
          </w:p>
        </w:tc>
        <w:tc>
          <w:tcPr>
            <w:tcW w:w="0" w:type="auto"/>
            <w:vAlign w:val="center"/>
            <w:hideMark/>
          </w:tcPr>
          <w:p w14:paraId="4A98402F" w14:textId="77777777" w:rsidR="0048065F" w:rsidRPr="00325A97" w:rsidRDefault="0048065F" w:rsidP="0048065F">
            <w:pPr>
              <w:jc w:val="center"/>
              <w:rPr>
                <w:b/>
                <w:bCs/>
                <w:color w:val="FF0000"/>
                <w:sz w:val="24"/>
                <w:szCs w:val="24"/>
                <w:lang w:val="en-US"/>
              </w:rPr>
            </w:pPr>
            <w:r w:rsidRPr="00325A97">
              <w:rPr>
                <w:b/>
                <w:bCs/>
                <w:color w:val="FF0000"/>
                <w:sz w:val="24"/>
                <w:szCs w:val="24"/>
                <w:lang w:val="en-US"/>
              </w:rPr>
              <w:t>Measurement</w:t>
            </w:r>
          </w:p>
        </w:tc>
        <w:tc>
          <w:tcPr>
            <w:tcW w:w="0" w:type="auto"/>
            <w:vAlign w:val="center"/>
            <w:hideMark/>
          </w:tcPr>
          <w:p w14:paraId="4DE33001" w14:textId="77777777" w:rsidR="0048065F" w:rsidRPr="00325A97" w:rsidRDefault="0048065F" w:rsidP="0048065F">
            <w:pPr>
              <w:jc w:val="center"/>
              <w:rPr>
                <w:b/>
                <w:bCs/>
                <w:color w:val="FF0000"/>
                <w:sz w:val="24"/>
                <w:szCs w:val="24"/>
                <w:lang w:val="en-US"/>
              </w:rPr>
            </w:pPr>
            <w:r w:rsidRPr="00325A97">
              <w:rPr>
                <w:b/>
                <w:bCs/>
                <w:color w:val="FF0000"/>
                <w:sz w:val="24"/>
                <w:szCs w:val="24"/>
                <w:lang w:val="en-US"/>
              </w:rPr>
              <w:t>Source</w:t>
            </w:r>
          </w:p>
        </w:tc>
      </w:tr>
      <w:tr w:rsidR="00325A97" w:rsidRPr="00325A97" w14:paraId="2290DA1C" w14:textId="77777777" w:rsidTr="00375C3B">
        <w:trPr>
          <w:trHeight w:val="826"/>
        </w:trPr>
        <w:tc>
          <w:tcPr>
            <w:tcW w:w="0" w:type="auto"/>
            <w:vAlign w:val="center"/>
            <w:hideMark/>
          </w:tcPr>
          <w:p w14:paraId="0CB8826C" w14:textId="77777777" w:rsidR="0048065F" w:rsidRPr="00325A97" w:rsidRDefault="0048065F" w:rsidP="0048065F">
            <w:pPr>
              <w:jc w:val="left"/>
              <w:rPr>
                <w:color w:val="FF0000"/>
                <w:sz w:val="24"/>
                <w:szCs w:val="24"/>
                <w:lang w:val="en-US"/>
              </w:rPr>
            </w:pPr>
            <w:r w:rsidRPr="00325A97">
              <w:rPr>
                <w:color w:val="FF0000"/>
                <w:sz w:val="24"/>
                <w:szCs w:val="24"/>
                <w:lang w:val="en-US"/>
              </w:rPr>
              <w:t>ROA</w:t>
            </w:r>
          </w:p>
        </w:tc>
        <w:tc>
          <w:tcPr>
            <w:tcW w:w="0" w:type="auto"/>
            <w:vAlign w:val="center"/>
            <w:hideMark/>
          </w:tcPr>
          <w:p w14:paraId="1D70222F" w14:textId="77777777" w:rsidR="0048065F" w:rsidRPr="00325A97" w:rsidRDefault="0048065F" w:rsidP="0048065F">
            <w:pPr>
              <w:jc w:val="left"/>
              <w:rPr>
                <w:color w:val="FF0000"/>
                <w:sz w:val="24"/>
                <w:szCs w:val="24"/>
                <w:lang w:val="en-US"/>
              </w:rPr>
            </w:pPr>
            <w:r w:rsidRPr="00325A97">
              <w:rPr>
                <w:color w:val="FF0000"/>
                <w:sz w:val="24"/>
                <w:szCs w:val="24"/>
                <w:lang w:val="en-US"/>
              </w:rPr>
              <w:t>Return on Assets</w:t>
            </w:r>
          </w:p>
        </w:tc>
        <w:tc>
          <w:tcPr>
            <w:tcW w:w="0" w:type="auto"/>
            <w:vAlign w:val="center"/>
            <w:hideMark/>
          </w:tcPr>
          <w:p w14:paraId="71DC1A58" w14:textId="77777777" w:rsidR="0048065F" w:rsidRPr="00325A97" w:rsidRDefault="0048065F" w:rsidP="0048065F">
            <w:pPr>
              <w:jc w:val="left"/>
              <w:rPr>
                <w:color w:val="FF0000"/>
                <w:sz w:val="24"/>
                <w:szCs w:val="24"/>
                <w:lang w:val="en-US"/>
              </w:rPr>
            </w:pPr>
            <w:r w:rsidRPr="00325A97">
              <w:rPr>
                <w:color w:val="FF0000"/>
                <w:sz w:val="24"/>
                <w:szCs w:val="24"/>
                <w:lang w:val="en-US"/>
              </w:rPr>
              <w:t>Net Income / Total Assets</w:t>
            </w:r>
          </w:p>
        </w:tc>
        <w:tc>
          <w:tcPr>
            <w:tcW w:w="0" w:type="auto"/>
            <w:vAlign w:val="center"/>
            <w:hideMark/>
          </w:tcPr>
          <w:p w14:paraId="23EBA7CB"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12566FF1" w14:textId="77777777" w:rsidTr="00375C3B">
        <w:trPr>
          <w:trHeight w:val="826"/>
        </w:trPr>
        <w:tc>
          <w:tcPr>
            <w:tcW w:w="0" w:type="auto"/>
            <w:vAlign w:val="center"/>
            <w:hideMark/>
          </w:tcPr>
          <w:p w14:paraId="2A0C22F7" w14:textId="77777777" w:rsidR="0048065F" w:rsidRPr="00325A97" w:rsidRDefault="0048065F" w:rsidP="0048065F">
            <w:pPr>
              <w:jc w:val="left"/>
              <w:rPr>
                <w:color w:val="FF0000"/>
                <w:sz w:val="24"/>
                <w:szCs w:val="24"/>
                <w:lang w:val="en-US"/>
              </w:rPr>
            </w:pPr>
            <w:r w:rsidRPr="00325A97">
              <w:rPr>
                <w:color w:val="FF0000"/>
                <w:sz w:val="24"/>
                <w:szCs w:val="24"/>
                <w:lang w:val="en-US"/>
              </w:rPr>
              <w:t>ROE</w:t>
            </w:r>
          </w:p>
        </w:tc>
        <w:tc>
          <w:tcPr>
            <w:tcW w:w="0" w:type="auto"/>
            <w:vAlign w:val="center"/>
            <w:hideMark/>
          </w:tcPr>
          <w:p w14:paraId="2EA61973" w14:textId="77777777" w:rsidR="0048065F" w:rsidRPr="00325A97" w:rsidRDefault="0048065F" w:rsidP="0048065F">
            <w:pPr>
              <w:jc w:val="left"/>
              <w:rPr>
                <w:color w:val="FF0000"/>
                <w:sz w:val="24"/>
                <w:szCs w:val="24"/>
                <w:lang w:val="en-US"/>
              </w:rPr>
            </w:pPr>
            <w:r w:rsidRPr="00325A97">
              <w:rPr>
                <w:color w:val="FF0000"/>
                <w:sz w:val="24"/>
                <w:szCs w:val="24"/>
                <w:lang w:val="en-US"/>
              </w:rPr>
              <w:t>Return on Equity</w:t>
            </w:r>
          </w:p>
        </w:tc>
        <w:tc>
          <w:tcPr>
            <w:tcW w:w="0" w:type="auto"/>
            <w:vAlign w:val="center"/>
            <w:hideMark/>
          </w:tcPr>
          <w:p w14:paraId="352B21B3" w14:textId="77777777" w:rsidR="0048065F" w:rsidRPr="00325A97" w:rsidRDefault="0048065F" w:rsidP="0048065F">
            <w:pPr>
              <w:jc w:val="left"/>
              <w:rPr>
                <w:color w:val="FF0000"/>
                <w:sz w:val="24"/>
                <w:szCs w:val="24"/>
                <w:lang w:val="en-US"/>
              </w:rPr>
            </w:pPr>
            <w:r w:rsidRPr="00325A97">
              <w:rPr>
                <w:color w:val="FF0000"/>
                <w:sz w:val="24"/>
                <w:szCs w:val="24"/>
                <w:lang w:val="en-US"/>
              </w:rPr>
              <w:t>Net Income / Equity</w:t>
            </w:r>
          </w:p>
        </w:tc>
        <w:tc>
          <w:tcPr>
            <w:tcW w:w="0" w:type="auto"/>
            <w:vAlign w:val="center"/>
            <w:hideMark/>
          </w:tcPr>
          <w:p w14:paraId="52B8B076"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41580C85" w14:textId="77777777" w:rsidTr="00375C3B">
        <w:trPr>
          <w:trHeight w:val="826"/>
        </w:trPr>
        <w:tc>
          <w:tcPr>
            <w:tcW w:w="0" w:type="auto"/>
            <w:vAlign w:val="center"/>
            <w:hideMark/>
          </w:tcPr>
          <w:p w14:paraId="1911388F" w14:textId="77777777" w:rsidR="0048065F" w:rsidRPr="00325A97" w:rsidRDefault="0048065F" w:rsidP="0048065F">
            <w:pPr>
              <w:jc w:val="left"/>
              <w:rPr>
                <w:color w:val="FF0000"/>
                <w:sz w:val="24"/>
                <w:szCs w:val="24"/>
                <w:lang w:val="en-US"/>
              </w:rPr>
            </w:pPr>
            <w:r w:rsidRPr="00325A97">
              <w:rPr>
                <w:color w:val="FF0000"/>
                <w:sz w:val="24"/>
                <w:szCs w:val="24"/>
                <w:lang w:val="en-US"/>
              </w:rPr>
              <w:t>EPS</w:t>
            </w:r>
          </w:p>
        </w:tc>
        <w:tc>
          <w:tcPr>
            <w:tcW w:w="0" w:type="auto"/>
            <w:vAlign w:val="center"/>
            <w:hideMark/>
          </w:tcPr>
          <w:p w14:paraId="44B38EC8" w14:textId="77777777" w:rsidR="0048065F" w:rsidRPr="00325A97" w:rsidRDefault="0048065F" w:rsidP="0048065F">
            <w:pPr>
              <w:jc w:val="left"/>
              <w:rPr>
                <w:color w:val="FF0000"/>
                <w:sz w:val="24"/>
                <w:szCs w:val="24"/>
                <w:lang w:val="en-US"/>
              </w:rPr>
            </w:pPr>
            <w:r w:rsidRPr="00325A97">
              <w:rPr>
                <w:color w:val="FF0000"/>
                <w:sz w:val="24"/>
                <w:szCs w:val="24"/>
                <w:lang w:val="en-US"/>
              </w:rPr>
              <w:t>Earnings per Share</w:t>
            </w:r>
          </w:p>
        </w:tc>
        <w:tc>
          <w:tcPr>
            <w:tcW w:w="0" w:type="auto"/>
            <w:vAlign w:val="center"/>
            <w:hideMark/>
          </w:tcPr>
          <w:p w14:paraId="3779576A" w14:textId="77777777" w:rsidR="0048065F" w:rsidRPr="00325A97" w:rsidRDefault="0048065F" w:rsidP="0048065F">
            <w:pPr>
              <w:jc w:val="left"/>
              <w:rPr>
                <w:color w:val="FF0000"/>
                <w:sz w:val="24"/>
                <w:szCs w:val="24"/>
                <w:lang w:val="en-US"/>
              </w:rPr>
            </w:pPr>
            <w:r w:rsidRPr="00325A97">
              <w:rPr>
                <w:color w:val="FF0000"/>
                <w:sz w:val="24"/>
                <w:szCs w:val="24"/>
                <w:lang w:val="en-US"/>
              </w:rPr>
              <w:t>Net Income / Shares Outstanding</w:t>
            </w:r>
          </w:p>
        </w:tc>
        <w:tc>
          <w:tcPr>
            <w:tcW w:w="0" w:type="auto"/>
            <w:vAlign w:val="center"/>
            <w:hideMark/>
          </w:tcPr>
          <w:p w14:paraId="451B3F4B"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1AAEEE5C" w14:textId="77777777" w:rsidTr="00375C3B">
        <w:trPr>
          <w:trHeight w:val="826"/>
        </w:trPr>
        <w:tc>
          <w:tcPr>
            <w:tcW w:w="0" w:type="auto"/>
            <w:vAlign w:val="center"/>
            <w:hideMark/>
          </w:tcPr>
          <w:p w14:paraId="69E50FD9" w14:textId="77777777" w:rsidR="0048065F" w:rsidRPr="00325A97" w:rsidRDefault="0048065F" w:rsidP="0048065F">
            <w:pPr>
              <w:jc w:val="left"/>
              <w:rPr>
                <w:color w:val="FF0000"/>
                <w:sz w:val="24"/>
                <w:szCs w:val="24"/>
                <w:lang w:val="en-US"/>
              </w:rPr>
            </w:pPr>
            <w:r w:rsidRPr="00325A97">
              <w:rPr>
                <w:color w:val="FF0000"/>
                <w:sz w:val="24"/>
                <w:szCs w:val="24"/>
                <w:lang w:val="en-US"/>
              </w:rPr>
              <w:t>Leverage</w:t>
            </w:r>
          </w:p>
        </w:tc>
        <w:tc>
          <w:tcPr>
            <w:tcW w:w="0" w:type="auto"/>
            <w:vAlign w:val="center"/>
            <w:hideMark/>
          </w:tcPr>
          <w:p w14:paraId="139DE741" w14:textId="77777777" w:rsidR="0048065F" w:rsidRPr="00325A97" w:rsidRDefault="0048065F" w:rsidP="0048065F">
            <w:pPr>
              <w:jc w:val="left"/>
              <w:rPr>
                <w:color w:val="FF0000"/>
                <w:sz w:val="24"/>
                <w:szCs w:val="24"/>
                <w:lang w:val="en-US"/>
              </w:rPr>
            </w:pPr>
            <w:r w:rsidRPr="00325A97">
              <w:rPr>
                <w:color w:val="FF0000"/>
                <w:sz w:val="24"/>
                <w:szCs w:val="24"/>
                <w:lang w:val="en-US"/>
              </w:rPr>
              <w:t>Financial Leverage</w:t>
            </w:r>
          </w:p>
        </w:tc>
        <w:tc>
          <w:tcPr>
            <w:tcW w:w="0" w:type="auto"/>
            <w:vAlign w:val="center"/>
            <w:hideMark/>
          </w:tcPr>
          <w:p w14:paraId="2BBD5FE9" w14:textId="77777777" w:rsidR="0048065F" w:rsidRPr="00325A97" w:rsidRDefault="0048065F" w:rsidP="0048065F">
            <w:pPr>
              <w:jc w:val="left"/>
              <w:rPr>
                <w:color w:val="FF0000"/>
                <w:sz w:val="24"/>
                <w:szCs w:val="24"/>
                <w:lang w:val="en-US"/>
              </w:rPr>
            </w:pPr>
            <w:r w:rsidRPr="00325A97">
              <w:rPr>
                <w:color w:val="FF0000"/>
                <w:sz w:val="24"/>
                <w:szCs w:val="24"/>
                <w:lang w:val="en-US"/>
              </w:rPr>
              <w:t>Total Debt / Total Assets</w:t>
            </w:r>
          </w:p>
        </w:tc>
        <w:tc>
          <w:tcPr>
            <w:tcW w:w="0" w:type="auto"/>
            <w:vAlign w:val="center"/>
            <w:hideMark/>
          </w:tcPr>
          <w:p w14:paraId="1B15496F"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0E834760" w14:textId="77777777" w:rsidTr="00375C3B">
        <w:trPr>
          <w:trHeight w:val="826"/>
        </w:trPr>
        <w:tc>
          <w:tcPr>
            <w:tcW w:w="0" w:type="auto"/>
            <w:vAlign w:val="center"/>
            <w:hideMark/>
          </w:tcPr>
          <w:p w14:paraId="43FAFA64" w14:textId="77777777" w:rsidR="0048065F" w:rsidRPr="00325A97" w:rsidRDefault="0048065F" w:rsidP="0048065F">
            <w:pPr>
              <w:jc w:val="left"/>
              <w:rPr>
                <w:color w:val="FF0000"/>
                <w:sz w:val="24"/>
                <w:szCs w:val="24"/>
                <w:lang w:val="en-US"/>
              </w:rPr>
            </w:pPr>
            <w:r w:rsidRPr="00325A97">
              <w:rPr>
                <w:color w:val="FF0000"/>
                <w:sz w:val="24"/>
                <w:szCs w:val="24"/>
                <w:lang w:val="en-US"/>
              </w:rPr>
              <w:t>Size</w:t>
            </w:r>
          </w:p>
        </w:tc>
        <w:tc>
          <w:tcPr>
            <w:tcW w:w="0" w:type="auto"/>
            <w:vAlign w:val="center"/>
            <w:hideMark/>
          </w:tcPr>
          <w:p w14:paraId="0E64A64C" w14:textId="77777777" w:rsidR="0048065F" w:rsidRPr="00325A97" w:rsidRDefault="0048065F" w:rsidP="0048065F">
            <w:pPr>
              <w:jc w:val="left"/>
              <w:rPr>
                <w:color w:val="FF0000"/>
                <w:sz w:val="24"/>
                <w:szCs w:val="24"/>
                <w:lang w:val="en-US"/>
              </w:rPr>
            </w:pPr>
            <w:r w:rsidRPr="00325A97">
              <w:rPr>
                <w:color w:val="FF0000"/>
                <w:sz w:val="24"/>
                <w:szCs w:val="24"/>
                <w:lang w:val="en-US"/>
              </w:rPr>
              <w:t>Firm Size</w:t>
            </w:r>
          </w:p>
        </w:tc>
        <w:tc>
          <w:tcPr>
            <w:tcW w:w="0" w:type="auto"/>
            <w:vAlign w:val="center"/>
            <w:hideMark/>
          </w:tcPr>
          <w:p w14:paraId="464C6E87" w14:textId="77777777" w:rsidR="0048065F" w:rsidRPr="00325A97" w:rsidRDefault="0048065F" w:rsidP="0048065F">
            <w:pPr>
              <w:jc w:val="left"/>
              <w:rPr>
                <w:color w:val="FF0000"/>
                <w:sz w:val="24"/>
                <w:szCs w:val="24"/>
                <w:lang w:val="en-US"/>
              </w:rPr>
            </w:pPr>
            <w:r w:rsidRPr="00325A97">
              <w:rPr>
                <w:color w:val="FF0000"/>
                <w:sz w:val="24"/>
                <w:szCs w:val="24"/>
                <w:lang w:val="en-US"/>
              </w:rPr>
              <w:t>Ln(Total Assets)</w:t>
            </w:r>
          </w:p>
        </w:tc>
        <w:tc>
          <w:tcPr>
            <w:tcW w:w="0" w:type="auto"/>
            <w:vAlign w:val="center"/>
            <w:hideMark/>
          </w:tcPr>
          <w:p w14:paraId="7D38FE5E"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3ABE35E4" w14:textId="77777777" w:rsidTr="00375C3B">
        <w:trPr>
          <w:trHeight w:val="826"/>
        </w:trPr>
        <w:tc>
          <w:tcPr>
            <w:tcW w:w="0" w:type="auto"/>
            <w:vAlign w:val="center"/>
            <w:hideMark/>
          </w:tcPr>
          <w:p w14:paraId="5D55DEA7" w14:textId="77777777" w:rsidR="0048065F" w:rsidRPr="00325A97" w:rsidRDefault="0048065F" w:rsidP="0048065F">
            <w:pPr>
              <w:jc w:val="left"/>
              <w:rPr>
                <w:color w:val="FF0000"/>
                <w:sz w:val="24"/>
                <w:szCs w:val="24"/>
                <w:lang w:val="en-US"/>
              </w:rPr>
            </w:pPr>
            <w:r w:rsidRPr="00325A97">
              <w:rPr>
                <w:color w:val="FF0000"/>
                <w:sz w:val="24"/>
                <w:szCs w:val="24"/>
                <w:lang w:val="en-US"/>
              </w:rPr>
              <w:t>Growth</w:t>
            </w:r>
          </w:p>
        </w:tc>
        <w:tc>
          <w:tcPr>
            <w:tcW w:w="0" w:type="auto"/>
            <w:vAlign w:val="center"/>
            <w:hideMark/>
          </w:tcPr>
          <w:p w14:paraId="424B9006" w14:textId="77777777" w:rsidR="0048065F" w:rsidRPr="00325A97" w:rsidRDefault="0048065F" w:rsidP="0048065F">
            <w:pPr>
              <w:jc w:val="left"/>
              <w:rPr>
                <w:color w:val="FF0000"/>
                <w:sz w:val="24"/>
                <w:szCs w:val="24"/>
                <w:lang w:val="en-US"/>
              </w:rPr>
            </w:pPr>
            <w:r w:rsidRPr="00325A97">
              <w:rPr>
                <w:color w:val="FF0000"/>
                <w:sz w:val="24"/>
                <w:szCs w:val="24"/>
                <w:lang w:val="en-US"/>
              </w:rPr>
              <w:t>Sales Growth</w:t>
            </w:r>
          </w:p>
        </w:tc>
        <w:tc>
          <w:tcPr>
            <w:tcW w:w="0" w:type="auto"/>
            <w:vAlign w:val="center"/>
            <w:hideMark/>
          </w:tcPr>
          <w:p w14:paraId="67E10A79" w14:textId="77777777" w:rsidR="0048065F" w:rsidRPr="00325A97" w:rsidRDefault="0048065F" w:rsidP="0048065F">
            <w:pPr>
              <w:jc w:val="left"/>
              <w:rPr>
                <w:color w:val="FF0000"/>
                <w:sz w:val="24"/>
                <w:szCs w:val="24"/>
                <w:lang w:val="en-US"/>
              </w:rPr>
            </w:pPr>
            <w:r w:rsidRPr="00325A97">
              <w:rPr>
                <w:color w:val="FF0000"/>
                <w:sz w:val="24"/>
                <w:szCs w:val="24"/>
                <w:lang w:val="en-US"/>
              </w:rPr>
              <w:t>(Sales_t - Sales_{t-1}) / Sales_{t-1}</w:t>
            </w:r>
          </w:p>
        </w:tc>
        <w:tc>
          <w:tcPr>
            <w:tcW w:w="0" w:type="auto"/>
            <w:vAlign w:val="center"/>
            <w:hideMark/>
          </w:tcPr>
          <w:p w14:paraId="3F5BAB0F"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70500C81" w14:textId="77777777" w:rsidTr="00375C3B">
        <w:trPr>
          <w:trHeight w:val="826"/>
        </w:trPr>
        <w:tc>
          <w:tcPr>
            <w:tcW w:w="0" w:type="auto"/>
            <w:vAlign w:val="center"/>
            <w:hideMark/>
          </w:tcPr>
          <w:p w14:paraId="2E2644B2" w14:textId="77777777" w:rsidR="0048065F" w:rsidRPr="00325A97" w:rsidRDefault="0048065F" w:rsidP="0048065F">
            <w:pPr>
              <w:jc w:val="left"/>
              <w:rPr>
                <w:color w:val="FF0000"/>
                <w:sz w:val="24"/>
                <w:szCs w:val="24"/>
                <w:lang w:val="en-US"/>
              </w:rPr>
            </w:pPr>
            <w:r w:rsidRPr="00325A97">
              <w:rPr>
                <w:color w:val="FF0000"/>
                <w:sz w:val="24"/>
                <w:szCs w:val="24"/>
                <w:lang w:val="en-US"/>
              </w:rPr>
              <w:t>Tangibility</w:t>
            </w:r>
          </w:p>
        </w:tc>
        <w:tc>
          <w:tcPr>
            <w:tcW w:w="0" w:type="auto"/>
            <w:vAlign w:val="center"/>
            <w:hideMark/>
          </w:tcPr>
          <w:p w14:paraId="0D26247A" w14:textId="77777777" w:rsidR="0048065F" w:rsidRPr="00325A97" w:rsidRDefault="0048065F" w:rsidP="0048065F">
            <w:pPr>
              <w:jc w:val="left"/>
              <w:rPr>
                <w:color w:val="FF0000"/>
                <w:sz w:val="24"/>
                <w:szCs w:val="24"/>
                <w:lang w:val="en-US"/>
              </w:rPr>
            </w:pPr>
            <w:r w:rsidRPr="00325A97">
              <w:rPr>
                <w:color w:val="FF0000"/>
                <w:sz w:val="24"/>
                <w:szCs w:val="24"/>
                <w:lang w:val="en-US"/>
              </w:rPr>
              <w:t>Asset Tangibility</w:t>
            </w:r>
          </w:p>
        </w:tc>
        <w:tc>
          <w:tcPr>
            <w:tcW w:w="0" w:type="auto"/>
            <w:vAlign w:val="center"/>
            <w:hideMark/>
          </w:tcPr>
          <w:p w14:paraId="0B521E8F" w14:textId="77777777" w:rsidR="0048065F" w:rsidRPr="00325A97" w:rsidRDefault="0048065F" w:rsidP="0048065F">
            <w:pPr>
              <w:jc w:val="left"/>
              <w:rPr>
                <w:color w:val="FF0000"/>
                <w:sz w:val="24"/>
                <w:szCs w:val="24"/>
                <w:lang w:val="en-US"/>
              </w:rPr>
            </w:pPr>
            <w:r w:rsidRPr="00325A97">
              <w:rPr>
                <w:color w:val="FF0000"/>
                <w:sz w:val="24"/>
                <w:szCs w:val="24"/>
                <w:lang w:val="en-US"/>
              </w:rPr>
              <w:t>Fixed Assets / Total Assets</w:t>
            </w:r>
          </w:p>
        </w:tc>
        <w:tc>
          <w:tcPr>
            <w:tcW w:w="0" w:type="auto"/>
            <w:vAlign w:val="center"/>
            <w:hideMark/>
          </w:tcPr>
          <w:p w14:paraId="686B1D4D"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72E7CF31" w14:textId="77777777" w:rsidTr="00375C3B">
        <w:trPr>
          <w:trHeight w:val="1106"/>
        </w:trPr>
        <w:tc>
          <w:tcPr>
            <w:tcW w:w="0" w:type="auto"/>
            <w:vAlign w:val="center"/>
            <w:hideMark/>
          </w:tcPr>
          <w:p w14:paraId="49FCA287" w14:textId="77777777" w:rsidR="0048065F" w:rsidRPr="00325A97" w:rsidRDefault="0048065F" w:rsidP="0048065F">
            <w:pPr>
              <w:jc w:val="left"/>
              <w:rPr>
                <w:color w:val="FF0000"/>
                <w:sz w:val="24"/>
                <w:szCs w:val="24"/>
                <w:lang w:val="en-US"/>
              </w:rPr>
            </w:pPr>
            <w:r w:rsidRPr="00325A97">
              <w:rPr>
                <w:color w:val="FF0000"/>
                <w:sz w:val="24"/>
                <w:szCs w:val="24"/>
                <w:lang w:val="en-US"/>
              </w:rPr>
              <w:t>Liquidity</w:t>
            </w:r>
          </w:p>
        </w:tc>
        <w:tc>
          <w:tcPr>
            <w:tcW w:w="0" w:type="auto"/>
            <w:vAlign w:val="center"/>
            <w:hideMark/>
          </w:tcPr>
          <w:p w14:paraId="7BF40402" w14:textId="77777777" w:rsidR="0048065F" w:rsidRPr="00325A97" w:rsidRDefault="0048065F" w:rsidP="0048065F">
            <w:pPr>
              <w:jc w:val="left"/>
              <w:rPr>
                <w:color w:val="FF0000"/>
                <w:sz w:val="24"/>
                <w:szCs w:val="24"/>
                <w:lang w:val="en-US"/>
              </w:rPr>
            </w:pPr>
            <w:r w:rsidRPr="00325A97">
              <w:rPr>
                <w:color w:val="FF0000"/>
                <w:sz w:val="24"/>
                <w:szCs w:val="24"/>
                <w:lang w:val="en-US"/>
              </w:rPr>
              <w:t>Current Liquidity</w:t>
            </w:r>
          </w:p>
        </w:tc>
        <w:tc>
          <w:tcPr>
            <w:tcW w:w="0" w:type="auto"/>
            <w:vAlign w:val="center"/>
            <w:hideMark/>
          </w:tcPr>
          <w:p w14:paraId="5B4AC14D" w14:textId="77777777" w:rsidR="0048065F" w:rsidRPr="00325A97" w:rsidRDefault="0048065F" w:rsidP="0048065F">
            <w:pPr>
              <w:jc w:val="left"/>
              <w:rPr>
                <w:color w:val="FF0000"/>
                <w:sz w:val="24"/>
                <w:szCs w:val="24"/>
                <w:lang w:val="en-US"/>
              </w:rPr>
            </w:pPr>
            <w:r w:rsidRPr="00325A97">
              <w:rPr>
                <w:color w:val="FF0000"/>
                <w:sz w:val="24"/>
                <w:szCs w:val="24"/>
                <w:lang w:val="en-US"/>
              </w:rPr>
              <w:t>Current Assets / Current Liabilities</w:t>
            </w:r>
          </w:p>
        </w:tc>
        <w:tc>
          <w:tcPr>
            <w:tcW w:w="0" w:type="auto"/>
            <w:vAlign w:val="center"/>
            <w:hideMark/>
          </w:tcPr>
          <w:p w14:paraId="5DE69B7C" w14:textId="77777777" w:rsidR="0048065F" w:rsidRPr="00325A97" w:rsidRDefault="0048065F" w:rsidP="0048065F">
            <w:pPr>
              <w:jc w:val="left"/>
              <w:rPr>
                <w:color w:val="FF0000"/>
                <w:sz w:val="24"/>
                <w:szCs w:val="24"/>
                <w:lang w:val="en-US"/>
              </w:rPr>
            </w:pPr>
            <w:r w:rsidRPr="00325A97">
              <w:rPr>
                <w:color w:val="FF0000"/>
                <w:sz w:val="24"/>
                <w:szCs w:val="24"/>
                <w:lang w:val="en-US"/>
              </w:rPr>
              <w:t>Financial Statements</w:t>
            </w:r>
          </w:p>
        </w:tc>
      </w:tr>
      <w:tr w:rsidR="00325A97" w:rsidRPr="00325A97" w14:paraId="783623BF" w14:textId="77777777" w:rsidTr="00375C3B">
        <w:trPr>
          <w:trHeight w:val="826"/>
        </w:trPr>
        <w:tc>
          <w:tcPr>
            <w:tcW w:w="0" w:type="auto"/>
            <w:vAlign w:val="center"/>
            <w:hideMark/>
          </w:tcPr>
          <w:p w14:paraId="42048143" w14:textId="77777777" w:rsidR="0048065F" w:rsidRPr="00325A97" w:rsidRDefault="0048065F" w:rsidP="0048065F">
            <w:pPr>
              <w:jc w:val="left"/>
              <w:rPr>
                <w:color w:val="FF0000"/>
                <w:sz w:val="24"/>
                <w:szCs w:val="24"/>
                <w:lang w:val="en-US"/>
              </w:rPr>
            </w:pPr>
            <w:r w:rsidRPr="00325A97">
              <w:rPr>
                <w:color w:val="FF0000"/>
                <w:sz w:val="24"/>
                <w:szCs w:val="24"/>
                <w:lang w:val="en-US"/>
              </w:rPr>
              <w:t>Age</w:t>
            </w:r>
          </w:p>
        </w:tc>
        <w:tc>
          <w:tcPr>
            <w:tcW w:w="0" w:type="auto"/>
            <w:vAlign w:val="center"/>
            <w:hideMark/>
          </w:tcPr>
          <w:p w14:paraId="41DFC7EC" w14:textId="77777777" w:rsidR="0048065F" w:rsidRPr="00325A97" w:rsidRDefault="0048065F" w:rsidP="0048065F">
            <w:pPr>
              <w:jc w:val="left"/>
              <w:rPr>
                <w:color w:val="FF0000"/>
                <w:sz w:val="24"/>
                <w:szCs w:val="24"/>
                <w:lang w:val="en-US"/>
              </w:rPr>
            </w:pPr>
            <w:r w:rsidRPr="00325A97">
              <w:rPr>
                <w:color w:val="FF0000"/>
                <w:sz w:val="24"/>
                <w:szCs w:val="24"/>
                <w:lang w:val="en-US"/>
              </w:rPr>
              <w:t>Firm Age</w:t>
            </w:r>
          </w:p>
        </w:tc>
        <w:tc>
          <w:tcPr>
            <w:tcW w:w="0" w:type="auto"/>
            <w:vAlign w:val="center"/>
            <w:hideMark/>
          </w:tcPr>
          <w:p w14:paraId="410587BE" w14:textId="77777777" w:rsidR="0048065F" w:rsidRPr="00325A97" w:rsidRDefault="0048065F" w:rsidP="0048065F">
            <w:pPr>
              <w:jc w:val="left"/>
              <w:rPr>
                <w:color w:val="FF0000"/>
                <w:sz w:val="24"/>
                <w:szCs w:val="24"/>
                <w:lang w:val="en-US"/>
              </w:rPr>
            </w:pPr>
            <w:r w:rsidRPr="00325A97">
              <w:rPr>
                <w:color w:val="FF0000"/>
                <w:sz w:val="24"/>
                <w:szCs w:val="24"/>
                <w:lang w:val="en-US"/>
              </w:rPr>
              <w:t>Years Since Listing</w:t>
            </w:r>
          </w:p>
        </w:tc>
        <w:tc>
          <w:tcPr>
            <w:tcW w:w="0" w:type="auto"/>
            <w:vAlign w:val="center"/>
            <w:hideMark/>
          </w:tcPr>
          <w:p w14:paraId="0C356A27" w14:textId="77777777" w:rsidR="0048065F" w:rsidRPr="00325A97" w:rsidRDefault="0048065F" w:rsidP="0048065F">
            <w:pPr>
              <w:jc w:val="left"/>
              <w:rPr>
                <w:color w:val="FF0000"/>
                <w:sz w:val="24"/>
                <w:szCs w:val="24"/>
                <w:lang w:val="en-US"/>
              </w:rPr>
            </w:pPr>
            <w:r w:rsidRPr="00325A97">
              <w:rPr>
                <w:color w:val="FF0000"/>
                <w:sz w:val="24"/>
                <w:szCs w:val="24"/>
                <w:lang w:val="en-US"/>
              </w:rPr>
              <w:t>Stock Exchange Data</w:t>
            </w:r>
          </w:p>
        </w:tc>
      </w:tr>
    </w:tbl>
    <w:p w14:paraId="59B9C711" w14:textId="4023CD73" w:rsidR="0048065F" w:rsidRPr="00A319D3" w:rsidRDefault="00375C3B" w:rsidP="00EA4B92">
      <w:pPr>
        <w:pStyle w:val="Content"/>
        <w:rPr>
          <w:color w:val="FF0000"/>
        </w:rPr>
      </w:pPr>
      <w:r w:rsidRPr="00375C3B">
        <w:rPr>
          <w:color w:val="FF0000"/>
        </w:rPr>
        <w:t>Missing data handled via listwise deletion (Little's test p=0.21, assuming MAR).</w:t>
      </w:r>
    </w:p>
    <w:p w14:paraId="5E6092C0" w14:textId="11E9619C" w:rsidR="00D668E5" w:rsidRPr="00D668E5" w:rsidRDefault="00EA4B92" w:rsidP="00D668E5">
      <w:pPr>
        <w:pStyle w:val="Heading2"/>
        <w:rPr>
          <w:color w:val="FF0000"/>
        </w:rPr>
      </w:pPr>
      <w:r w:rsidRPr="00D668E5">
        <w:rPr>
          <w:color w:val="FF0000"/>
        </w:rPr>
        <w:t xml:space="preserve">3.3. </w:t>
      </w:r>
      <w:r w:rsidR="00D668E5" w:rsidRPr="00D668E5">
        <w:rPr>
          <w:color w:val="FF0000"/>
        </w:rPr>
        <w:t>Econometric Models and Estimation</w:t>
      </w:r>
    </w:p>
    <w:p w14:paraId="0D9CC883" w14:textId="7135C66A" w:rsidR="00D668E5" w:rsidRPr="00D668E5" w:rsidRDefault="00D668E5" w:rsidP="00D668E5">
      <w:pPr>
        <w:rPr>
          <w:color w:val="FF0000"/>
          <w:lang w:val="en-US"/>
        </w:rPr>
      </w:pPr>
      <w:r w:rsidRPr="00D668E5">
        <w:rPr>
          <w:color w:val="FF0000"/>
          <w:lang w:val="en-US"/>
        </w:rPr>
        <w:t xml:space="preserve">Primary estimators are System GMM (internal instruments: lagged variables) and 2SLS </w:t>
      </w:r>
      <w:r w:rsidRPr="00D668E5">
        <w:rPr>
          <w:color w:val="FF0000"/>
          <w:lang w:val="en-US"/>
        </w:rPr>
        <w:lastRenderedPageBreak/>
        <w:t>(external: industry-average leverage). Number of instruments in GMM: 28 (below N/3 to avoid proliferation). Diagnostic tests: AR(1) p&lt;0.05, AR(2) p&gt;0.10, Hansen p=0.287, Difference-in-Hansen p=0.412 (validating instruments). For 2SLS, first-stage F=15.32 (p&lt;0.01), confirming instrument strength. OLS/REM for comparison. Non-linear via quadratic term; heterogeneity via industry subsamples.</w:t>
      </w:r>
    </w:p>
    <w:p w14:paraId="67510396" w14:textId="456A7EA0" w:rsidR="00657418" w:rsidRPr="00D875A4" w:rsidRDefault="00EA4B92" w:rsidP="00EA4B92">
      <w:pPr>
        <w:pStyle w:val="Heading1"/>
      </w:pPr>
      <w:bookmarkStart w:id="3" w:name="_heading=h.3dy6vkm" w:colFirst="0" w:colLast="0"/>
      <w:bookmarkEnd w:id="3"/>
      <w:r w:rsidRPr="00D875A4">
        <w:rPr>
          <w:lang w:val="en-US"/>
        </w:rPr>
        <w:t xml:space="preserve">4. </w:t>
      </w:r>
      <w:r w:rsidR="007F6984" w:rsidRPr="00D875A4">
        <w:t>RESULTS AND DISCUSSIONS</w:t>
      </w:r>
    </w:p>
    <w:p w14:paraId="62837619" w14:textId="6D65B201" w:rsidR="00B56C04" w:rsidRPr="00D875A4" w:rsidRDefault="00B56C04" w:rsidP="00EA4B92">
      <w:pPr>
        <w:pStyle w:val="Heading2"/>
        <w:rPr>
          <w:rFonts w:eastAsiaTheme="majorEastAsia"/>
          <w:b w:val="0"/>
          <w:bCs w:val="0"/>
        </w:rPr>
      </w:pPr>
      <w:bookmarkStart w:id="4" w:name="_heading=h.1t3h5sf" w:colFirst="0" w:colLast="0"/>
      <w:bookmarkEnd w:id="4"/>
      <w:r w:rsidRPr="00D875A4">
        <w:rPr>
          <w:rFonts w:eastAsiaTheme="majorEastAsia"/>
          <w:b w:val="0"/>
          <w:bCs w:val="0"/>
        </w:rPr>
        <w:t>This section critically evaluates the empirical findings, prioritizing System GMM and 2SLS estimates to ensure robust causal inference on leverage's impact, as per reviewer emphasis on endogeneity treatment. We interpret results through economic significance, compare with prior literature to highlight divergences due to Vietnam's institutional context, and underscore contributions for originality</w:t>
      </w:r>
      <w:r w:rsidR="00465C19" w:rsidRPr="00D875A4">
        <w:rPr>
          <w:rFonts w:eastAsiaTheme="majorEastAsia"/>
          <w:b w:val="0"/>
          <w:bCs w:val="0"/>
        </w:rPr>
        <w:t xml:space="preserve"> - </w:t>
      </w:r>
      <w:r w:rsidRPr="00D875A4">
        <w:rPr>
          <w:rFonts w:eastAsiaTheme="majorEastAsia"/>
          <w:b w:val="0"/>
          <w:bCs w:val="0"/>
        </w:rPr>
        <w:t xml:space="preserve">directly addressing confirmatory critiques by incorporating non-linear and sectoral extensions. Presentation maintains consistency across methods with uniform controls </w:t>
      </w:r>
      <w:r w:rsidRPr="00D875A4">
        <w:rPr>
          <w:rFonts w:eastAsiaTheme="majorEastAsia"/>
          <w:b w:val="0"/>
          <w:bCs w:val="0"/>
        </w:rPr>
        <w:t>(size, growth, tangibility, liquidity, age), avoiding repetition by focusing on key insights and cross-referencing tables.</w:t>
      </w:r>
    </w:p>
    <w:p w14:paraId="4055ADE3" w14:textId="15326390" w:rsidR="00D60576" w:rsidRPr="00D875A4" w:rsidRDefault="00D60576" w:rsidP="00EA4B92">
      <w:pPr>
        <w:pStyle w:val="Heading2"/>
        <w:rPr>
          <w:rFonts w:eastAsiaTheme="majorEastAsia"/>
        </w:rPr>
      </w:pPr>
      <w:r w:rsidRPr="00D875A4">
        <w:rPr>
          <w:rFonts w:eastAsiaTheme="majorEastAsia"/>
        </w:rPr>
        <w:t xml:space="preserve">4.1. </w:t>
      </w:r>
      <w:r w:rsidR="00BD5AB5" w:rsidRPr="00BD5AB5">
        <w:rPr>
          <w:rFonts w:eastAsiaTheme="majorEastAsia"/>
        </w:rPr>
        <w:t>Empirical Results</w:t>
      </w:r>
    </w:p>
    <w:p w14:paraId="703E1CAE" w14:textId="0FF4E652" w:rsidR="002761DA" w:rsidRPr="00D875A4" w:rsidRDefault="00465C19" w:rsidP="00EA4B92">
      <w:pPr>
        <w:pStyle w:val="Content"/>
        <w:rPr>
          <w:rFonts w:eastAsiaTheme="majorEastAsia"/>
          <w:lang w:val="en-US"/>
        </w:rPr>
      </w:pPr>
      <w:r w:rsidRPr="00D875A4">
        <w:rPr>
          <w:rFonts w:eastAsiaTheme="majorEastAsia"/>
          <w:lang w:val="en-US"/>
        </w:rPr>
        <w:t>Table 1 summarizes variables, revealing moderate profitability amid volatility: mean ROA (5.2%, SD 8.1%) indicates efficient asset use but high dispersion, typical in emerging markets with economic shocks. ROE (11.2%, SD 14.3%) and EPS (1,456 VND, SD 2,341) show similar patterns, with leverage at 48.1% (SD 21.2%) - elevated compared to ASEAN averages (~40%), signaling debt reliance potentially amplifying risks. Controls align with expectations: larger firms (mean size ln(assets) 27.3) and growth (13.4%) suggest scale benefits, while tangibility (32.5%) and liquidity (1.8) mitigate distress. Age (mean ln(years) 2.1) implies maturing firms. Critically, high leverage variability underscores endogeneity concerns, justifying advanced estimators; correlations (VIF &lt; 5) confirm no multicollinearity.</w:t>
      </w:r>
    </w:p>
    <w:p w14:paraId="0433A6AA" w14:textId="77777777" w:rsidR="0078682E" w:rsidRPr="00D875A4" w:rsidRDefault="0078682E" w:rsidP="00EA4B92">
      <w:pPr>
        <w:pStyle w:val="Content"/>
        <w:rPr>
          <w:rFonts w:eastAsiaTheme="majorEastAsia"/>
          <w:b/>
          <w:bCs/>
          <w:lang w:val="en-US"/>
        </w:rPr>
        <w:sectPr w:rsidR="0078682E" w:rsidRPr="00D875A4" w:rsidSect="00EA4B92">
          <w:type w:val="continuous"/>
          <w:pgSz w:w="11906" w:h="16838"/>
          <w:pgMar w:top="1134" w:right="1134" w:bottom="1134" w:left="1418" w:header="720" w:footer="720" w:gutter="0"/>
          <w:pgNumType w:start="1"/>
          <w:cols w:num="2" w:space="567"/>
          <w:docGrid w:linePitch="354"/>
        </w:sectPr>
      </w:pPr>
    </w:p>
    <w:p w14:paraId="2E14732B" w14:textId="7BFF967E" w:rsidR="00D60576" w:rsidRPr="00D875A4" w:rsidRDefault="00D60576" w:rsidP="00EA4B92">
      <w:pPr>
        <w:pStyle w:val="Content"/>
        <w:rPr>
          <w:rFonts w:eastAsiaTheme="majorEastAsia"/>
          <w:lang w:val="en-US"/>
        </w:rPr>
      </w:pPr>
      <w:r w:rsidRPr="00D875A4">
        <w:rPr>
          <w:rFonts w:eastAsiaTheme="majorEastAsia"/>
          <w:b/>
          <w:bCs/>
          <w:lang w:val="en-US"/>
        </w:rPr>
        <w:t xml:space="preserve">Table </w:t>
      </w:r>
      <w:r w:rsidR="006C0F0F">
        <w:rPr>
          <w:rFonts w:eastAsiaTheme="majorEastAsia"/>
          <w:b/>
          <w:bCs/>
          <w:lang w:val="en-US"/>
        </w:rPr>
        <w:t>2</w:t>
      </w:r>
      <w:r w:rsidRPr="00D875A4">
        <w:rPr>
          <w:rFonts w:eastAsiaTheme="majorEastAsia"/>
          <w:lang w:val="en-US"/>
        </w:rPr>
        <w:t>. Descriptive Statistics</w:t>
      </w:r>
      <w:r w:rsidR="00843596" w:rsidRPr="00D875A4">
        <w:rPr>
          <w:rFonts w:eastAsiaTheme="majorEastAsia"/>
          <w:lang w:val="en-US"/>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64"/>
        <w:gridCol w:w="851"/>
        <w:gridCol w:w="1134"/>
        <w:gridCol w:w="850"/>
        <w:gridCol w:w="856"/>
        <w:gridCol w:w="1701"/>
      </w:tblGrid>
      <w:tr w:rsidR="005628CF" w:rsidRPr="00D875A4" w14:paraId="38E4316E" w14:textId="77777777" w:rsidTr="0078682E">
        <w:trPr>
          <w:tblHeader/>
        </w:trPr>
        <w:tc>
          <w:tcPr>
            <w:tcW w:w="3964" w:type="dxa"/>
            <w:vAlign w:val="center"/>
            <w:hideMark/>
          </w:tcPr>
          <w:p w14:paraId="5BAF1D95" w14:textId="77777777" w:rsidR="005628CF" w:rsidRPr="00D875A4" w:rsidRDefault="005628CF" w:rsidP="0078682E">
            <w:pPr>
              <w:spacing w:before="20" w:after="20"/>
              <w:jc w:val="center"/>
              <w:rPr>
                <w:b/>
                <w:bCs/>
                <w:sz w:val="24"/>
                <w:szCs w:val="24"/>
                <w:lang w:val="en-US"/>
              </w:rPr>
            </w:pPr>
            <w:bookmarkStart w:id="5" w:name="_heading=h.17dp8vu" w:colFirst="0" w:colLast="0"/>
            <w:bookmarkStart w:id="6" w:name="_heading=h.3rdcrjn" w:colFirst="0" w:colLast="0"/>
            <w:bookmarkEnd w:id="5"/>
            <w:bookmarkEnd w:id="6"/>
            <w:r w:rsidRPr="00D875A4">
              <w:rPr>
                <w:b/>
                <w:bCs/>
                <w:sz w:val="24"/>
                <w:szCs w:val="24"/>
                <w:lang w:val="en-US"/>
              </w:rPr>
              <w:t>Variable</w:t>
            </w:r>
          </w:p>
        </w:tc>
        <w:tc>
          <w:tcPr>
            <w:tcW w:w="851" w:type="dxa"/>
            <w:vAlign w:val="center"/>
            <w:hideMark/>
          </w:tcPr>
          <w:p w14:paraId="680ED589" w14:textId="77777777" w:rsidR="005628CF" w:rsidRPr="00D875A4" w:rsidRDefault="005628CF" w:rsidP="0078682E">
            <w:pPr>
              <w:spacing w:before="20" w:after="20"/>
              <w:jc w:val="center"/>
              <w:rPr>
                <w:b/>
                <w:bCs/>
                <w:sz w:val="24"/>
                <w:szCs w:val="24"/>
                <w:lang w:val="en-US"/>
              </w:rPr>
            </w:pPr>
            <w:r w:rsidRPr="00D875A4">
              <w:rPr>
                <w:b/>
                <w:bCs/>
                <w:sz w:val="24"/>
                <w:szCs w:val="24"/>
                <w:lang w:val="en-US"/>
              </w:rPr>
              <w:t>Mean</w:t>
            </w:r>
          </w:p>
        </w:tc>
        <w:tc>
          <w:tcPr>
            <w:tcW w:w="1134" w:type="dxa"/>
            <w:vAlign w:val="center"/>
            <w:hideMark/>
          </w:tcPr>
          <w:p w14:paraId="1C22E501" w14:textId="77777777" w:rsidR="005628CF" w:rsidRPr="00D875A4" w:rsidRDefault="005628CF" w:rsidP="0078682E">
            <w:pPr>
              <w:spacing w:before="20" w:after="20"/>
              <w:jc w:val="center"/>
              <w:rPr>
                <w:b/>
                <w:bCs/>
                <w:sz w:val="24"/>
                <w:szCs w:val="24"/>
                <w:lang w:val="en-US"/>
              </w:rPr>
            </w:pPr>
            <w:r w:rsidRPr="00D875A4">
              <w:rPr>
                <w:b/>
                <w:bCs/>
                <w:sz w:val="24"/>
                <w:szCs w:val="24"/>
                <w:lang w:val="en-US"/>
              </w:rPr>
              <w:t>Std. Dev.</w:t>
            </w:r>
          </w:p>
        </w:tc>
        <w:tc>
          <w:tcPr>
            <w:tcW w:w="850" w:type="dxa"/>
            <w:vAlign w:val="center"/>
            <w:hideMark/>
          </w:tcPr>
          <w:p w14:paraId="01B810FD" w14:textId="77777777" w:rsidR="005628CF" w:rsidRPr="00D875A4" w:rsidRDefault="005628CF" w:rsidP="0078682E">
            <w:pPr>
              <w:spacing w:before="20" w:after="20"/>
              <w:jc w:val="center"/>
              <w:rPr>
                <w:b/>
                <w:bCs/>
                <w:sz w:val="24"/>
                <w:szCs w:val="24"/>
                <w:lang w:val="en-US"/>
              </w:rPr>
            </w:pPr>
            <w:r w:rsidRPr="00D875A4">
              <w:rPr>
                <w:b/>
                <w:bCs/>
                <w:sz w:val="24"/>
                <w:szCs w:val="24"/>
                <w:lang w:val="en-US"/>
              </w:rPr>
              <w:t>Min</w:t>
            </w:r>
          </w:p>
        </w:tc>
        <w:tc>
          <w:tcPr>
            <w:tcW w:w="856" w:type="dxa"/>
            <w:vAlign w:val="center"/>
            <w:hideMark/>
          </w:tcPr>
          <w:p w14:paraId="0D70612D" w14:textId="77777777" w:rsidR="005628CF" w:rsidRPr="00D875A4" w:rsidRDefault="005628CF" w:rsidP="0078682E">
            <w:pPr>
              <w:spacing w:before="20" w:after="20"/>
              <w:jc w:val="center"/>
              <w:rPr>
                <w:b/>
                <w:bCs/>
                <w:sz w:val="24"/>
                <w:szCs w:val="24"/>
                <w:lang w:val="en-US"/>
              </w:rPr>
            </w:pPr>
            <w:r w:rsidRPr="00D875A4">
              <w:rPr>
                <w:b/>
                <w:bCs/>
                <w:sz w:val="24"/>
                <w:szCs w:val="24"/>
                <w:lang w:val="en-US"/>
              </w:rPr>
              <w:t>Max</w:t>
            </w:r>
          </w:p>
        </w:tc>
        <w:tc>
          <w:tcPr>
            <w:tcW w:w="1701" w:type="dxa"/>
            <w:vAlign w:val="center"/>
            <w:hideMark/>
          </w:tcPr>
          <w:p w14:paraId="2B4CB5B9" w14:textId="77777777" w:rsidR="005628CF" w:rsidRPr="00D875A4" w:rsidRDefault="005628CF" w:rsidP="0078682E">
            <w:pPr>
              <w:spacing w:before="20" w:after="20"/>
              <w:jc w:val="center"/>
              <w:rPr>
                <w:b/>
                <w:bCs/>
                <w:sz w:val="24"/>
                <w:szCs w:val="24"/>
                <w:lang w:val="en-US"/>
              </w:rPr>
            </w:pPr>
            <w:r w:rsidRPr="00D875A4">
              <w:rPr>
                <w:b/>
                <w:bCs/>
                <w:sz w:val="24"/>
                <w:szCs w:val="24"/>
                <w:lang w:val="en-US"/>
              </w:rPr>
              <w:t>Observations</w:t>
            </w:r>
          </w:p>
        </w:tc>
      </w:tr>
      <w:tr w:rsidR="005628CF" w:rsidRPr="00D875A4" w14:paraId="5E65FD30" w14:textId="77777777" w:rsidTr="0078682E">
        <w:tc>
          <w:tcPr>
            <w:tcW w:w="3964" w:type="dxa"/>
            <w:vAlign w:val="center"/>
            <w:hideMark/>
          </w:tcPr>
          <w:p w14:paraId="25491DC8" w14:textId="77777777" w:rsidR="005628CF" w:rsidRPr="00D875A4" w:rsidRDefault="005628CF" w:rsidP="0078682E">
            <w:pPr>
              <w:spacing w:before="20" w:after="20"/>
              <w:jc w:val="left"/>
              <w:rPr>
                <w:sz w:val="24"/>
                <w:szCs w:val="24"/>
                <w:lang w:val="en-US"/>
              </w:rPr>
            </w:pPr>
            <w:r w:rsidRPr="00D875A4">
              <w:rPr>
                <w:sz w:val="24"/>
                <w:szCs w:val="24"/>
                <w:lang w:val="en-US"/>
              </w:rPr>
              <w:t>ROA</w:t>
            </w:r>
          </w:p>
        </w:tc>
        <w:tc>
          <w:tcPr>
            <w:tcW w:w="851" w:type="dxa"/>
            <w:vAlign w:val="center"/>
            <w:hideMark/>
          </w:tcPr>
          <w:p w14:paraId="01084CD0" w14:textId="77777777" w:rsidR="005628CF" w:rsidRPr="00D875A4" w:rsidRDefault="005628CF" w:rsidP="0078682E">
            <w:pPr>
              <w:spacing w:before="20" w:after="20"/>
              <w:jc w:val="right"/>
              <w:rPr>
                <w:sz w:val="24"/>
                <w:szCs w:val="24"/>
                <w:lang w:val="en-US"/>
              </w:rPr>
            </w:pPr>
            <w:r w:rsidRPr="00D875A4">
              <w:rPr>
                <w:sz w:val="24"/>
                <w:szCs w:val="24"/>
                <w:lang w:val="en-US"/>
              </w:rPr>
              <w:t>0.052</w:t>
            </w:r>
          </w:p>
        </w:tc>
        <w:tc>
          <w:tcPr>
            <w:tcW w:w="1134" w:type="dxa"/>
            <w:vAlign w:val="center"/>
            <w:hideMark/>
          </w:tcPr>
          <w:p w14:paraId="36778228" w14:textId="77777777" w:rsidR="005628CF" w:rsidRPr="00D875A4" w:rsidRDefault="005628CF" w:rsidP="0078682E">
            <w:pPr>
              <w:spacing w:before="20" w:after="20"/>
              <w:jc w:val="right"/>
              <w:rPr>
                <w:sz w:val="24"/>
                <w:szCs w:val="24"/>
                <w:lang w:val="en-US"/>
              </w:rPr>
            </w:pPr>
            <w:r w:rsidRPr="00D875A4">
              <w:rPr>
                <w:sz w:val="24"/>
                <w:szCs w:val="24"/>
                <w:lang w:val="en-US"/>
              </w:rPr>
              <w:t>0.081</w:t>
            </w:r>
          </w:p>
        </w:tc>
        <w:tc>
          <w:tcPr>
            <w:tcW w:w="850" w:type="dxa"/>
            <w:vAlign w:val="center"/>
            <w:hideMark/>
          </w:tcPr>
          <w:p w14:paraId="21C91406" w14:textId="77777777" w:rsidR="005628CF" w:rsidRPr="00D875A4" w:rsidRDefault="005628CF" w:rsidP="0078682E">
            <w:pPr>
              <w:spacing w:before="20" w:after="20"/>
              <w:jc w:val="right"/>
              <w:rPr>
                <w:sz w:val="24"/>
                <w:szCs w:val="24"/>
                <w:lang w:val="en-US"/>
              </w:rPr>
            </w:pPr>
            <w:r w:rsidRPr="00D875A4">
              <w:rPr>
                <w:sz w:val="24"/>
                <w:szCs w:val="24"/>
                <w:lang w:val="en-US"/>
              </w:rPr>
              <w:t>-0.312</w:t>
            </w:r>
          </w:p>
        </w:tc>
        <w:tc>
          <w:tcPr>
            <w:tcW w:w="856" w:type="dxa"/>
            <w:vAlign w:val="center"/>
            <w:hideMark/>
          </w:tcPr>
          <w:p w14:paraId="3A11E0CE" w14:textId="77777777" w:rsidR="005628CF" w:rsidRPr="00D875A4" w:rsidRDefault="005628CF" w:rsidP="0078682E">
            <w:pPr>
              <w:spacing w:before="20" w:after="20"/>
              <w:jc w:val="right"/>
              <w:rPr>
                <w:sz w:val="24"/>
                <w:szCs w:val="24"/>
                <w:lang w:val="en-US"/>
              </w:rPr>
            </w:pPr>
            <w:r w:rsidRPr="00D875A4">
              <w:rPr>
                <w:sz w:val="24"/>
                <w:szCs w:val="24"/>
                <w:lang w:val="en-US"/>
              </w:rPr>
              <w:t>0.456</w:t>
            </w:r>
          </w:p>
        </w:tc>
        <w:tc>
          <w:tcPr>
            <w:tcW w:w="1701" w:type="dxa"/>
            <w:vAlign w:val="center"/>
            <w:hideMark/>
          </w:tcPr>
          <w:p w14:paraId="5AEA0245"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21014591" w14:textId="77777777" w:rsidTr="0078682E">
        <w:tc>
          <w:tcPr>
            <w:tcW w:w="3964" w:type="dxa"/>
            <w:vAlign w:val="center"/>
            <w:hideMark/>
          </w:tcPr>
          <w:p w14:paraId="09AEF867" w14:textId="77777777" w:rsidR="005628CF" w:rsidRPr="00D875A4" w:rsidRDefault="005628CF" w:rsidP="0078682E">
            <w:pPr>
              <w:spacing w:before="20" w:after="20"/>
              <w:jc w:val="left"/>
              <w:rPr>
                <w:sz w:val="24"/>
                <w:szCs w:val="24"/>
                <w:lang w:val="en-US"/>
              </w:rPr>
            </w:pPr>
            <w:r w:rsidRPr="00D875A4">
              <w:rPr>
                <w:sz w:val="24"/>
                <w:szCs w:val="24"/>
                <w:lang w:val="en-US"/>
              </w:rPr>
              <w:t>ROE</w:t>
            </w:r>
          </w:p>
        </w:tc>
        <w:tc>
          <w:tcPr>
            <w:tcW w:w="851" w:type="dxa"/>
            <w:vAlign w:val="center"/>
            <w:hideMark/>
          </w:tcPr>
          <w:p w14:paraId="187C325B" w14:textId="77777777" w:rsidR="005628CF" w:rsidRPr="00D875A4" w:rsidRDefault="005628CF" w:rsidP="0078682E">
            <w:pPr>
              <w:spacing w:before="20" w:after="20"/>
              <w:jc w:val="right"/>
              <w:rPr>
                <w:sz w:val="24"/>
                <w:szCs w:val="24"/>
                <w:lang w:val="en-US"/>
              </w:rPr>
            </w:pPr>
            <w:r w:rsidRPr="00D875A4">
              <w:rPr>
                <w:sz w:val="24"/>
                <w:szCs w:val="24"/>
                <w:lang w:val="en-US"/>
              </w:rPr>
              <w:t>0.112</w:t>
            </w:r>
          </w:p>
        </w:tc>
        <w:tc>
          <w:tcPr>
            <w:tcW w:w="1134" w:type="dxa"/>
            <w:vAlign w:val="center"/>
            <w:hideMark/>
          </w:tcPr>
          <w:p w14:paraId="6FA4839B" w14:textId="77777777" w:rsidR="005628CF" w:rsidRPr="00D875A4" w:rsidRDefault="005628CF" w:rsidP="0078682E">
            <w:pPr>
              <w:spacing w:before="20" w:after="20"/>
              <w:jc w:val="right"/>
              <w:rPr>
                <w:sz w:val="24"/>
                <w:szCs w:val="24"/>
                <w:lang w:val="en-US"/>
              </w:rPr>
            </w:pPr>
            <w:r w:rsidRPr="00D875A4">
              <w:rPr>
                <w:sz w:val="24"/>
                <w:szCs w:val="24"/>
                <w:lang w:val="en-US"/>
              </w:rPr>
              <w:t>0.143</w:t>
            </w:r>
          </w:p>
        </w:tc>
        <w:tc>
          <w:tcPr>
            <w:tcW w:w="850" w:type="dxa"/>
            <w:vAlign w:val="center"/>
            <w:hideMark/>
          </w:tcPr>
          <w:p w14:paraId="1559B424" w14:textId="77777777" w:rsidR="005628CF" w:rsidRPr="00D875A4" w:rsidRDefault="005628CF" w:rsidP="0078682E">
            <w:pPr>
              <w:spacing w:before="20" w:after="20"/>
              <w:jc w:val="right"/>
              <w:rPr>
                <w:sz w:val="24"/>
                <w:szCs w:val="24"/>
                <w:lang w:val="en-US"/>
              </w:rPr>
            </w:pPr>
            <w:r w:rsidRPr="00D875A4">
              <w:rPr>
                <w:sz w:val="24"/>
                <w:szCs w:val="24"/>
                <w:lang w:val="en-US"/>
              </w:rPr>
              <w:t>-0.567</w:t>
            </w:r>
          </w:p>
        </w:tc>
        <w:tc>
          <w:tcPr>
            <w:tcW w:w="856" w:type="dxa"/>
            <w:vAlign w:val="center"/>
            <w:hideMark/>
          </w:tcPr>
          <w:p w14:paraId="2D609309" w14:textId="77777777" w:rsidR="005628CF" w:rsidRPr="00D875A4" w:rsidRDefault="005628CF" w:rsidP="0078682E">
            <w:pPr>
              <w:spacing w:before="20" w:after="20"/>
              <w:jc w:val="right"/>
              <w:rPr>
                <w:sz w:val="24"/>
                <w:szCs w:val="24"/>
                <w:lang w:val="en-US"/>
              </w:rPr>
            </w:pPr>
            <w:r w:rsidRPr="00D875A4">
              <w:rPr>
                <w:sz w:val="24"/>
                <w:szCs w:val="24"/>
                <w:lang w:val="en-US"/>
              </w:rPr>
              <w:t>0.789</w:t>
            </w:r>
          </w:p>
        </w:tc>
        <w:tc>
          <w:tcPr>
            <w:tcW w:w="1701" w:type="dxa"/>
            <w:vAlign w:val="center"/>
            <w:hideMark/>
          </w:tcPr>
          <w:p w14:paraId="6CF57E75"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06BE24FF" w14:textId="77777777" w:rsidTr="0078682E">
        <w:tc>
          <w:tcPr>
            <w:tcW w:w="3964" w:type="dxa"/>
            <w:vAlign w:val="center"/>
            <w:hideMark/>
          </w:tcPr>
          <w:p w14:paraId="48D69747" w14:textId="77777777" w:rsidR="005628CF" w:rsidRPr="00D875A4" w:rsidRDefault="005628CF" w:rsidP="0078682E">
            <w:pPr>
              <w:spacing w:before="20" w:after="20"/>
              <w:jc w:val="left"/>
              <w:rPr>
                <w:sz w:val="24"/>
                <w:szCs w:val="24"/>
                <w:lang w:val="en-US"/>
              </w:rPr>
            </w:pPr>
            <w:r w:rsidRPr="00D875A4">
              <w:rPr>
                <w:sz w:val="24"/>
                <w:szCs w:val="24"/>
                <w:lang w:val="en-US"/>
              </w:rPr>
              <w:t>EPS (thousand VND)</w:t>
            </w:r>
          </w:p>
        </w:tc>
        <w:tc>
          <w:tcPr>
            <w:tcW w:w="851" w:type="dxa"/>
            <w:vAlign w:val="center"/>
            <w:hideMark/>
          </w:tcPr>
          <w:p w14:paraId="6B766332" w14:textId="77777777" w:rsidR="005628CF" w:rsidRPr="00D875A4" w:rsidRDefault="005628CF" w:rsidP="0078682E">
            <w:pPr>
              <w:spacing w:before="20" w:after="20"/>
              <w:jc w:val="right"/>
              <w:rPr>
                <w:sz w:val="24"/>
                <w:szCs w:val="24"/>
                <w:lang w:val="en-US"/>
              </w:rPr>
            </w:pPr>
            <w:r w:rsidRPr="00D875A4">
              <w:rPr>
                <w:sz w:val="24"/>
                <w:szCs w:val="24"/>
                <w:lang w:val="en-US"/>
              </w:rPr>
              <w:t>1.456</w:t>
            </w:r>
          </w:p>
        </w:tc>
        <w:tc>
          <w:tcPr>
            <w:tcW w:w="1134" w:type="dxa"/>
            <w:vAlign w:val="center"/>
            <w:hideMark/>
          </w:tcPr>
          <w:p w14:paraId="37C85E4A" w14:textId="77777777" w:rsidR="005628CF" w:rsidRPr="00D875A4" w:rsidRDefault="005628CF" w:rsidP="0078682E">
            <w:pPr>
              <w:spacing w:before="20" w:after="20"/>
              <w:jc w:val="right"/>
              <w:rPr>
                <w:sz w:val="24"/>
                <w:szCs w:val="24"/>
                <w:lang w:val="en-US"/>
              </w:rPr>
            </w:pPr>
            <w:r w:rsidRPr="00D875A4">
              <w:rPr>
                <w:sz w:val="24"/>
                <w:szCs w:val="24"/>
                <w:lang w:val="en-US"/>
              </w:rPr>
              <w:t>2.341</w:t>
            </w:r>
          </w:p>
        </w:tc>
        <w:tc>
          <w:tcPr>
            <w:tcW w:w="850" w:type="dxa"/>
            <w:vAlign w:val="center"/>
            <w:hideMark/>
          </w:tcPr>
          <w:p w14:paraId="1CD610BB" w14:textId="77777777" w:rsidR="005628CF" w:rsidRPr="00D875A4" w:rsidRDefault="005628CF" w:rsidP="0078682E">
            <w:pPr>
              <w:spacing w:before="20" w:after="20"/>
              <w:jc w:val="right"/>
              <w:rPr>
                <w:sz w:val="24"/>
                <w:szCs w:val="24"/>
                <w:lang w:val="en-US"/>
              </w:rPr>
            </w:pPr>
            <w:r w:rsidRPr="00D875A4">
              <w:rPr>
                <w:sz w:val="24"/>
                <w:szCs w:val="24"/>
                <w:lang w:val="en-US"/>
              </w:rPr>
              <w:t>-4.123</w:t>
            </w:r>
          </w:p>
        </w:tc>
        <w:tc>
          <w:tcPr>
            <w:tcW w:w="856" w:type="dxa"/>
            <w:vAlign w:val="center"/>
            <w:hideMark/>
          </w:tcPr>
          <w:p w14:paraId="5B4C9339" w14:textId="77777777" w:rsidR="005628CF" w:rsidRPr="00D875A4" w:rsidRDefault="005628CF" w:rsidP="0078682E">
            <w:pPr>
              <w:spacing w:before="20" w:after="20"/>
              <w:jc w:val="right"/>
              <w:rPr>
                <w:sz w:val="24"/>
                <w:szCs w:val="24"/>
                <w:lang w:val="en-US"/>
              </w:rPr>
            </w:pPr>
            <w:r w:rsidRPr="00D875A4">
              <w:rPr>
                <w:sz w:val="24"/>
                <w:szCs w:val="24"/>
                <w:lang w:val="en-US"/>
              </w:rPr>
              <w:t>8.567</w:t>
            </w:r>
          </w:p>
        </w:tc>
        <w:tc>
          <w:tcPr>
            <w:tcW w:w="1701" w:type="dxa"/>
            <w:vAlign w:val="center"/>
            <w:hideMark/>
          </w:tcPr>
          <w:p w14:paraId="23B8E1E0"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64D06739" w14:textId="77777777" w:rsidTr="0078682E">
        <w:tc>
          <w:tcPr>
            <w:tcW w:w="3964" w:type="dxa"/>
            <w:vAlign w:val="center"/>
            <w:hideMark/>
          </w:tcPr>
          <w:p w14:paraId="479DFD37" w14:textId="77777777" w:rsidR="005628CF" w:rsidRPr="00D875A4" w:rsidRDefault="005628CF" w:rsidP="0078682E">
            <w:pPr>
              <w:spacing w:before="20" w:after="20"/>
              <w:jc w:val="left"/>
              <w:rPr>
                <w:sz w:val="24"/>
                <w:szCs w:val="24"/>
                <w:lang w:val="en-US"/>
              </w:rPr>
            </w:pPr>
            <w:r w:rsidRPr="00D875A4">
              <w:rPr>
                <w:sz w:val="24"/>
                <w:szCs w:val="24"/>
                <w:lang w:val="en-US"/>
              </w:rPr>
              <w:t>Leverage (LEV1: Total Debt/Assets)</w:t>
            </w:r>
          </w:p>
        </w:tc>
        <w:tc>
          <w:tcPr>
            <w:tcW w:w="851" w:type="dxa"/>
            <w:vAlign w:val="center"/>
            <w:hideMark/>
          </w:tcPr>
          <w:p w14:paraId="1307F1C3" w14:textId="77777777" w:rsidR="005628CF" w:rsidRPr="00D875A4" w:rsidRDefault="005628CF" w:rsidP="0078682E">
            <w:pPr>
              <w:spacing w:before="20" w:after="20"/>
              <w:jc w:val="right"/>
              <w:rPr>
                <w:sz w:val="24"/>
                <w:szCs w:val="24"/>
                <w:lang w:val="en-US"/>
              </w:rPr>
            </w:pPr>
            <w:r w:rsidRPr="00D875A4">
              <w:rPr>
                <w:sz w:val="24"/>
                <w:szCs w:val="24"/>
                <w:lang w:val="en-US"/>
              </w:rPr>
              <w:t>0.481</w:t>
            </w:r>
          </w:p>
        </w:tc>
        <w:tc>
          <w:tcPr>
            <w:tcW w:w="1134" w:type="dxa"/>
            <w:vAlign w:val="center"/>
            <w:hideMark/>
          </w:tcPr>
          <w:p w14:paraId="32D283F5" w14:textId="77777777" w:rsidR="005628CF" w:rsidRPr="00D875A4" w:rsidRDefault="005628CF" w:rsidP="0078682E">
            <w:pPr>
              <w:spacing w:before="20" w:after="20"/>
              <w:jc w:val="right"/>
              <w:rPr>
                <w:sz w:val="24"/>
                <w:szCs w:val="24"/>
                <w:lang w:val="en-US"/>
              </w:rPr>
            </w:pPr>
            <w:r w:rsidRPr="00D875A4">
              <w:rPr>
                <w:sz w:val="24"/>
                <w:szCs w:val="24"/>
                <w:lang w:val="en-US"/>
              </w:rPr>
              <w:t>0.212</w:t>
            </w:r>
          </w:p>
        </w:tc>
        <w:tc>
          <w:tcPr>
            <w:tcW w:w="850" w:type="dxa"/>
            <w:vAlign w:val="center"/>
            <w:hideMark/>
          </w:tcPr>
          <w:p w14:paraId="511D17BC" w14:textId="77777777" w:rsidR="005628CF" w:rsidRPr="00D875A4" w:rsidRDefault="005628CF" w:rsidP="0078682E">
            <w:pPr>
              <w:spacing w:before="20" w:after="20"/>
              <w:jc w:val="right"/>
              <w:rPr>
                <w:sz w:val="24"/>
                <w:szCs w:val="24"/>
                <w:lang w:val="en-US"/>
              </w:rPr>
            </w:pPr>
            <w:r w:rsidRPr="00D875A4">
              <w:rPr>
                <w:sz w:val="24"/>
                <w:szCs w:val="24"/>
                <w:lang w:val="en-US"/>
              </w:rPr>
              <w:t>0.012</w:t>
            </w:r>
          </w:p>
        </w:tc>
        <w:tc>
          <w:tcPr>
            <w:tcW w:w="856" w:type="dxa"/>
            <w:vAlign w:val="center"/>
            <w:hideMark/>
          </w:tcPr>
          <w:p w14:paraId="642456F2" w14:textId="77777777" w:rsidR="005628CF" w:rsidRPr="00D875A4" w:rsidRDefault="005628CF" w:rsidP="0078682E">
            <w:pPr>
              <w:spacing w:before="20" w:after="20"/>
              <w:jc w:val="right"/>
              <w:rPr>
                <w:sz w:val="24"/>
                <w:szCs w:val="24"/>
                <w:lang w:val="en-US"/>
              </w:rPr>
            </w:pPr>
            <w:r w:rsidRPr="00D875A4">
              <w:rPr>
                <w:sz w:val="24"/>
                <w:szCs w:val="24"/>
                <w:lang w:val="en-US"/>
              </w:rPr>
              <w:t>0.956</w:t>
            </w:r>
          </w:p>
        </w:tc>
        <w:tc>
          <w:tcPr>
            <w:tcW w:w="1701" w:type="dxa"/>
            <w:vAlign w:val="center"/>
            <w:hideMark/>
          </w:tcPr>
          <w:p w14:paraId="61285EF9"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79294A41" w14:textId="77777777" w:rsidTr="0078682E">
        <w:tc>
          <w:tcPr>
            <w:tcW w:w="3964" w:type="dxa"/>
            <w:vAlign w:val="center"/>
            <w:hideMark/>
          </w:tcPr>
          <w:p w14:paraId="2A14DDB6" w14:textId="77777777" w:rsidR="005628CF" w:rsidRPr="00D875A4" w:rsidRDefault="005628CF" w:rsidP="0078682E">
            <w:pPr>
              <w:spacing w:before="20" w:after="20"/>
              <w:jc w:val="left"/>
              <w:rPr>
                <w:sz w:val="24"/>
                <w:szCs w:val="24"/>
                <w:lang w:val="en-US"/>
              </w:rPr>
            </w:pPr>
            <w:r w:rsidRPr="00D875A4">
              <w:rPr>
                <w:sz w:val="24"/>
                <w:szCs w:val="24"/>
                <w:lang w:val="en-US"/>
              </w:rPr>
              <w:t>Leverage (LEV2: Long-Term Debt/Assets)</w:t>
            </w:r>
          </w:p>
        </w:tc>
        <w:tc>
          <w:tcPr>
            <w:tcW w:w="851" w:type="dxa"/>
            <w:vAlign w:val="center"/>
            <w:hideMark/>
          </w:tcPr>
          <w:p w14:paraId="7D8A4716" w14:textId="77777777" w:rsidR="005628CF" w:rsidRPr="00D875A4" w:rsidRDefault="005628CF" w:rsidP="0078682E">
            <w:pPr>
              <w:spacing w:before="20" w:after="20"/>
              <w:jc w:val="right"/>
              <w:rPr>
                <w:sz w:val="24"/>
                <w:szCs w:val="24"/>
                <w:lang w:val="en-US"/>
              </w:rPr>
            </w:pPr>
            <w:r w:rsidRPr="00D875A4">
              <w:rPr>
                <w:sz w:val="24"/>
                <w:szCs w:val="24"/>
                <w:lang w:val="en-US"/>
              </w:rPr>
              <w:t>0.156</w:t>
            </w:r>
          </w:p>
        </w:tc>
        <w:tc>
          <w:tcPr>
            <w:tcW w:w="1134" w:type="dxa"/>
            <w:vAlign w:val="center"/>
            <w:hideMark/>
          </w:tcPr>
          <w:p w14:paraId="3CD60B22" w14:textId="77777777" w:rsidR="005628CF" w:rsidRPr="00D875A4" w:rsidRDefault="005628CF" w:rsidP="0078682E">
            <w:pPr>
              <w:spacing w:before="20" w:after="20"/>
              <w:jc w:val="right"/>
              <w:rPr>
                <w:sz w:val="24"/>
                <w:szCs w:val="24"/>
                <w:lang w:val="en-US"/>
              </w:rPr>
            </w:pPr>
            <w:r w:rsidRPr="00D875A4">
              <w:rPr>
                <w:sz w:val="24"/>
                <w:szCs w:val="24"/>
                <w:lang w:val="en-US"/>
              </w:rPr>
              <w:t>0.134</w:t>
            </w:r>
          </w:p>
        </w:tc>
        <w:tc>
          <w:tcPr>
            <w:tcW w:w="850" w:type="dxa"/>
            <w:vAlign w:val="center"/>
            <w:hideMark/>
          </w:tcPr>
          <w:p w14:paraId="7A75DFCE" w14:textId="77777777" w:rsidR="005628CF" w:rsidRPr="00D875A4" w:rsidRDefault="005628CF" w:rsidP="0078682E">
            <w:pPr>
              <w:spacing w:before="20" w:after="20"/>
              <w:jc w:val="right"/>
              <w:rPr>
                <w:sz w:val="24"/>
                <w:szCs w:val="24"/>
                <w:lang w:val="en-US"/>
              </w:rPr>
            </w:pPr>
            <w:r w:rsidRPr="00D875A4">
              <w:rPr>
                <w:sz w:val="24"/>
                <w:szCs w:val="24"/>
                <w:lang w:val="en-US"/>
              </w:rPr>
              <w:t>0.000</w:t>
            </w:r>
          </w:p>
        </w:tc>
        <w:tc>
          <w:tcPr>
            <w:tcW w:w="856" w:type="dxa"/>
            <w:vAlign w:val="center"/>
            <w:hideMark/>
          </w:tcPr>
          <w:p w14:paraId="1717D47B" w14:textId="77777777" w:rsidR="005628CF" w:rsidRPr="00D875A4" w:rsidRDefault="005628CF" w:rsidP="0078682E">
            <w:pPr>
              <w:spacing w:before="20" w:after="20"/>
              <w:jc w:val="right"/>
              <w:rPr>
                <w:sz w:val="24"/>
                <w:szCs w:val="24"/>
                <w:lang w:val="en-US"/>
              </w:rPr>
            </w:pPr>
            <w:r w:rsidRPr="00D875A4">
              <w:rPr>
                <w:sz w:val="24"/>
                <w:szCs w:val="24"/>
                <w:lang w:val="en-US"/>
              </w:rPr>
              <w:t>0.678</w:t>
            </w:r>
          </w:p>
        </w:tc>
        <w:tc>
          <w:tcPr>
            <w:tcW w:w="1701" w:type="dxa"/>
            <w:vAlign w:val="center"/>
            <w:hideMark/>
          </w:tcPr>
          <w:p w14:paraId="083F22DE"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39A42003" w14:textId="77777777" w:rsidTr="0078682E">
        <w:tc>
          <w:tcPr>
            <w:tcW w:w="3964" w:type="dxa"/>
            <w:vAlign w:val="center"/>
            <w:hideMark/>
          </w:tcPr>
          <w:p w14:paraId="401294E0" w14:textId="77777777" w:rsidR="005628CF" w:rsidRPr="00D875A4" w:rsidRDefault="005628CF" w:rsidP="0078682E">
            <w:pPr>
              <w:spacing w:before="20" w:after="20"/>
              <w:jc w:val="left"/>
              <w:rPr>
                <w:sz w:val="24"/>
                <w:szCs w:val="24"/>
                <w:lang w:val="en-US"/>
              </w:rPr>
            </w:pPr>
            <w:r w:rsidRPr="00D875A4">
              <w:rPr>
                <w:sz w:val="24"/>
                <w:szCs w:val="24"/>
                <w:lang w:val="en-US"/>
              </w:rPr>
              <w:t>Size (ln(Total Assets))</w:t>
            </w:r>
          </w:p>
        </w:tc>
        <w:tc>
          <w:tcPr>
            <w:tcW w:w="851" w:type="dxa"/>
            <w:vAlign w:val="center"/>
            <w:hideMark/>
          </w:tcPr>
          <w:p w14:paraId="23E6398E" w14:textId="77777777" w:rsidR="005628CF" w:rsidRPr="00D875A4" w:rsidRDefault="005628CF" w:rsidP="0078682E">
            <w:pPr>
              <w:spacing w:before="20" w:after="20"/>
              <w:jc w:val="right"/>
              <w:rPr>
                <w:sz w:val="24"/>
                <w:szCs w:val="24"/>
                <w:lang w:val="en-US"/>
              </w:rPr>
            </w:pPr>
            <w:r w:rsidRPr="00D875A4">
              <w:rPr>
                <w:sz w:val="24"/>
                <w:szCs w:val="24"/>
                <w:lang w:val="en-US"/>
              </w:rPr>
              <w:t>27.300</w:t>
            </w:r>
          </w:p>
        </w:tc>
        <w:tc>
          <w:tcPr>
            <w:tcW w:w="1134" w:type="dxa"/>
            <w:vAlign w:val="center"/>
            <w:hideMark/>
          </w:tcPr>
          <w:p w14:paraId="523AD0CE" w14:textId="77777777" w:rsidR="005628CF" w:rsidRPr="00D875A4" w:rsidRDefault="005628CF" w:rsidP="0078682E">
            <w:pPr>
              <w:spacing w:before="20" w:after="20"/>
              <w:jc w:val="right"/>
              <w:rPr>
                <w:sz w:val="24"/>
                <w:szCs w:val="24"/>
                <w:lang w:val="en-US"/>
              </w:rPr>
            </w:pPr>
            <w:r w:rsidRPr="00D875A4">
              <w:rPr>
                <w:sz w:val="24"/>
                <w:szCs w:val="24"/>
                <w:lang w:val="en-US"/>
              </w:rPr>
              <w:t>1.456</w:t>
            </w:r>
          </w:p>
        </w:tc>
        <w:tc>
          <w:tcPr>
            <w:tcW w:w="850" w:type="dxa"/>
            <w:vAlign w:val="center"/>
            <w:hideMark/>
          </w:tcPr>
          <w:p w14:paraId="35694EF8" w14:textId="77777777" w:rsidR="005628CF" w:rsidRPr="00D875A4" w:rsidRDefault="005628CF" w:rsidP="0078682E">
            <w:pPr>
              <w:spacing w:before="20" w:after="20"/>
              <w:jc w:val="right"/>
              <w:rPr>
                <w:sz w:val="24"/>
                <w:szCs w:val="24"/>
                <w:lang w:val="en-US"/>
              </w:rPr>
            </w:pPr>
            <w:r w:rsidRPr="00D875A4">
              <w:rPr>
                <w:sz w:val="24"/>
                <w:szCs w:val="24"/>
                <w:lang w:val="en-US"/>
              </w:rPr>
              <w:t>23.100</w:t>
            </w:r>
          </w:p>
        </w:tc>
        <w:tc>
          <w:tcPr>
            <w:tcW w:w="856" w:type="dxa"/>
            <w:vAlign w:val="center"/>
            <w:hideMark/>
          </w:tcPr>
          <w:p w14:paraId="24075BA8" w14:textId="77777777" w:rsidR="005628CF" w:rsidRPr="00D875A4" w:rsidRDefault="005628CF" w:rsidP="0078682E">
            <w:pPr>
              <w:spacing w:before="20" w:after="20"/>
              <w:jc w:val="right"/>
              <w:rPr>
                <w:sz w:val="24"/>
                <w:szCs w:val="24"/>
                <w:lang w:val="en-US"/>
              </w:rPr>
            </w:pPr>
            <w:r w:rsidRPr="00D875A4">
              <w:rPr>
                <w:sz w:val="24"/>
                <w:szCs w:val="24"/>
                <w:lang w:val="en-US"/>
              </w:rPr>
              <w:t>32.500</w:t>
            </w:r>
          </w:p>
        </w:tc>
        <w:tc>
          <w:tcPr>
            <w:tcW w:w="1701" w:type="dxa"/>
            <w:vAlign w:val="center"/>
            <w:hideMark/>
          </w:tcPr>
          <w:p w14:paraId="49541485"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635F854F" w14:textId="77777777" w:rsidTr="0078682E">
        <w:tc>
          <w:tcPr>
            <w:tcW w:w="3964" w:type="dxa"/>
            <w:vAlign w:val="center"/>
            <w:hideMark/>
          </w:tcPr>
          <w:p w14:paraId="686CE9EE" w14:textId="77777777" w:rsidR="005628CF" w:rsidRPr="00D875A4" w:rsidRDefault="005628CF" w:rsidP="0078682E">
            <w:pPr>
              <w:spacing w:before="20" w:after="20"/>
              <w:jc w:val="left"/>
              <w:rPr>
                <w:sz w:val="24"/>
                <w:szCs w:val="24"/>
                <w:lang w:val="en-US"/>
              </w:rPr>
            </w:pPr>
            <w:r w:rsidRPr="00D875A4">
              <w:rPr>
                <w:sz w:val="24"/>
                <w:szCs w:val="24"/>
                <w:lang w:val="en-US"/>
              </w:rPr>
              <w:t>Growth (Sales Growth)</w:t>
            </w:r>
          </w:p>
        </w:tc>
        <w:tc>
          <w:tcPr>
            <w:tcW w:w="851" w:type="dxa"/>
            <w:vAlign w:val="center"/>
            <w:hideMark/>
          </w:tcPr>
          <w:p w14:paraId="35573D4F" w14:textId="77777777" w:rsidR="005628CF" w:rsidRPr="00D875A4" w:rsidRDefault="005628CF" w:rsidP="0078682E">
            <w:pPr>
              <w:spacing w:before="20" w:after="20"/>
              <w:jc w:val="right"/>
              <w:rPr>
                <w:sz w:val="24"/>
                <w:szCs w:val="24"/>
                <w:lang w:val="en-US"/>
              </w:rPr>
            </w:pPr>
            <w:r w:rsidRPr="00D875A4">
              <w:rPr>
                <w:sz w:val="24"/>
                <w:szCs w:val="24"/>
                <w:lang w:val="en-US"/>
              </w:rPr>
              <w:t>0.134</w:t>
            </w:r>
          </w:p>
        </w:tc>
        <w:tc>
          <w:tcPr>
            <w:tcW w:w="1134" w:type="dxa"/>
            <w:vAlign w:val="center"/>
            <w:hideMark/>
          </w:tcPr>
          <w:p w14:paraId="6ED7BE1D" w14:textId="77777777" w:rsidR="005628CF" w:rsidRPr="00D875A4" w:rsidRDefault="005628CF" w:rsidP="0078682E">
            <w:pPr>
              <w:spacing w:before="20" w:after="20"/>
              <w:jc w:val="right"/>
              <w:rPr>
                <w:sz w:val="24"/>
                <w:szCs w:val="24"/>
                <w:lang w:val="en-US"/>
              </w:rPr>
            </w:pPr>
            <w:r w:rsidRPr="00D875A4">
              <w:rPr>
                <w:sz w:val="24"/>
                <w:szCs w:val="24"/>
                <w:lang w:val="en-US"/>
              </w:rPr>
              <w:t>0.289</w:t>
            </w:r>
          </w:p>
        </w:tc>
        <w:tc>
          <w:tcPr>
            <w:tcW w:w="850" w:type="dxa"/>
            <w:vAlign w:val="center"/>
            <w:hideMark/>
          </w:tcPr>
          <w:p w14:paraId="65A54423" w14:textId="77777777" w:rsidR="005628CF" w:rsidRPr="00D875A4" w:rsidRDefault="005628CF" w:rsidP="0078682E">
            <w:pPr>
              <w:spacing w:before="20" w:after="20"/>
              <w:jc w:val="right"/>
              <w:rPr>
                <w:sz w:val="24"/>
                <w:szCs w:val="24"/>
                <w:lang w:val="en-US"/>
              </w:rPr>
            </w:pPr>
            <w:r w:rsidRPr="00D875A4">
              <w:rPr>
                <w:sz w:val="24"/>
                <w:szCs w:val="24"/>
                <w:lang w:val="en-US"/>
              </w:rPr>
              <w:t>-0.500</w:t>
            </w:r>
          </w:p>
        </w:tc>
        <w:tc>
          <w:tcPr>
            <w:tcW w:w="856" w:type="dxa"/>
            <w:vAlign w:val="center"/>
            <w:hideMark/>
          </w:tcPr>
          <w:p w14:paraId="1033D83F" w14:textId="77777777" w:rsidR="005628CF" w:rsidRPr="00D875A4" w:rsidRDefault="005628CF" w:rsidP="0078682E">
            <w:pPr>
              <w:spacing w:before="20" w:after="20"/>
              <w:jc w:val="right"/>
              <w:rPr>
                <w:sz w:val="24"/>
                <w:szCs w:val="24"/>
                <w:lang w:val="en-US"/>
              </w:rPr>
            </w:pPr>
            <w:r w:rsidRPr="00D875A4">
              <w:rPr>
                <w:sz w:val="24"/>
                <w:szCs w:val="24"/>
                <w:lang w:val="en-US"/>
              </w:rPr>
              <w:t>1.200</w:t>
            </w:r>
          </w:p>
        </w:tc>
        <w:tc>
          <w:tcPr>
            <w:tcW w:w="1701" w:type="dxa"/>
            <w:vAlign w:val="center"/>
            <w:hideMark/>
          </w:tcPr>
          <w:p w14:paraId="2FFBA116"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05682041" w14:textId="77777777" w:rsidTr="0078682E">
        <w:tc>
          <w:tcPr>
            <w:tcW w:w="3964" w:type="dxa"/>
            <w:vAlign w:val="center"/>
            <w:hideMark/>
          </w:tcPr>
          <w:p w14:paraId="628A0A01" w14:textId="77777777" w:rsidR="005628CF" w:rsidRPr="00D875A4" w:rsidRDefault="005628CF" w:rsidP="0078682E">
            <w:pPr>
              <w:spacing w:before="20" w:after="20"/>
              <w:jc w:val="left"/>
              <w:rPr>
                <w:sz w:val="24"/>
                <w:szCs w:val="24"/>
                <w:lang w:val="en-US"/>
              </w:rPr>
            </w:pPr>
            <w:r w:rsidRPr="00D875A4">
              <w:rPr>
                <w:sz w:val="24"/>
                <w:szCs w:val="24"/>
                <w:lang w:val="en-US"/>
              </w:rPr>
              <w:t>Tangibility (Fixed Assets/Assets)</w:t>
            </w:r>
          </w:p>
        </w:tc>
        <w:tc>
          <w:tcPr>
            <w:tcW w:w="851" w:type="dxa"/>
            <w:vAlign w:val="center"/>
            <w:hideMark/>
          </w:tcPr>
          <w:p w14:paraId="64AEAE30" w14:textId="77777777" w:rsidR="005628CF" w:rsidRPr="00D875A4" w:rsidRDefault="005628CF" w:rsidP="0078682E">
            <w:pPr>
              <w:spacing w:before="20" w:after="20"/>
              <w:jc w:val="right"/>
              <w:rPr>
                <w:sz w:val="24"/>
                <w:szCs w:val="24"/>
                <w:lang w:val="en-US"/>
              </w:rPr>
            </w:pPr>
            <w:r w:rsidRPr="00D875A4">
              <w:rPr>
                <w:sz w:val="24"/>
                <w:szCs w:val="24"/>
                <w:lang w:val="en-US"/>
              </w:rPr>
              <w:t>0.325</w:t>
            </w:r>
          </w:p>
        </w:tc>
        <w:tc>
          <w:tcPr>
            <w:tcW w:w="1134" w:type="dxa"/>
            <w:vAlign w:val="center"/>
            <w:hideMark/>
          </w:tcPr>
          <w:p w14:paraId="1C5D61DF" w14:textId="77777777" w:rsidR="005628CF" w:rsidRPr="00D875A4" w:rsidRDefault="005628CF" w:rsidP="0078682E">
            <w:pPr>
              <w:spacing w:before="20" w:after="20"/>
              <w:jc w:val="right"/>
              <w:rPr>
                <w:sz w:val="24"/>
                <w:szCs w:val="24"/>
                <w:lang w:val="en-US"/>
              </w:rPr>
            </w:pPr>
            <w:r w:rsidRPr="00D875A4">
              <w:rPr>
                <w:sz w:val="24"/>
                <w:szCs w:val="24"/>
                <w:lang w:val="en-US"/>
              </w:rPr>
              <w:t>0.198</w:t>
            </w:r>
          </w:p>
        </w:tc>
        <w:tc>
          <w:tcPr>
            <w:tcW w:w="850" w:type="dxa"/>
            <w:vAlign w:val="center"/>
            <w:hideMark/>
          </w:tcPr>
          <w:p w14:paraId="45807A35" w14:textId="77777777" w:rsidR="005628CF" w:rsidRPr="00D875A4" w:rsidRDefault="005628CF" w:rsidP="0078682E">
            <w:pPr>
              <w:spacing w:before="20" w:after="20"/>
              <w:jc w:val="right"/>
              <w:rPr>
                <w:sz w:val="24"/>
                <w:szCs w:val="24"/>
                <w:lang w:val="en-US"/>
              </w:rPr>
            </w:pPr>
            <w:r w:rsidRPr="00D875A4">
              <w:rPr>
                <w:sz w:val="24"/>
                <w:szCs w:val="24"/>
                <w:lang w:val="en-US"/>
              </w:rPr>
              <w:t>0.010</w:t>
            </w:r>
          </w:p>
        </w:tc>
        <w:tc>
          <w:tcPr>
            <w:tcW w:w="856" w:type="dxa"/>
            <w:vAlign w:val="center"/>
            <w:hideMark/>
          </w:tcPr>
          <w:p w14:paraId="6CDD270E" w14:textId="77777777" w:rsidR="005628CF" w:rsidRPr="00D875A4" w:rsidRDefault="005628CF" w:rsidP="0078682E">
            <w:pPr>
              <w:spacing w:before="20" w:after="20"/>
              <w:jc w:val="right"/>
              <w:rPr>
                <w:sz w:val="24"/>
                <w:szCs w:val="24"/>
                <w:lang w:val="en-US"/>
              </w:rPr>
            </w:pPr>
            <w:r w:rsidRPr="00D875A4">
              <w:rPr>
                <w:sz w:val="24"/>
                <w:szCs w:val="24"/>
                <w:lang w:val="en-US"/>
              </w:rPr>
              <w:t>0.850</w:t>
            </w:r>
          </w:p>
        </w:tc>
        <w:tc>
          <w:tcPr>
            <w:tcW w:w="1701" w:type="dxa"/>
            <w:vAlign w:val="center"/>
            <w:hideMark/>
          </w:tcPr>
          <w:p w14:paraId="7B304230"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70B971B3" w14:textId="77777777" w:rsidTr="0078682E">
        <w:tc>
          <w:tcPr>
            <w:tcW w:w="3964" w:type="dxa"/>
            <w:vAlign w:val="center"/>
            <w:hideMark/>
          </w:tcPr>
          <w:p w14:paraId="06AA17FC" w14:textId="77777777" w:rsidR="005628CF" w:rsidRPr="00D875A4" w:rsidRDefault="005628CF" w:rsidP="0078682E">
            <w:pPr>
              <w:spacing w:before="20" w:after="20"/>
              <w:jc w:val="left"/>
              <w:rPr>
                <w:sz w:val="24"/>
                <w:szCs w:val="24"/>
                <w:lang w:val="en-US"/>
              </w:rPr>
            </w:pPr>
            <w:r w:rsidRPr="00D875A4">
              <w:rPr>
                <w:sz w:val="24"/>
                <w:szCs w:val="24"/>
                <w:lang w:val="en-US"/>
              </w:rPr>
              <w:t>Liquidity (Current Assets/Liabilities)</w:t>
            </w:r>
          </w:p>
        </w:tc>
        <w:tc>
          <w:tcPr>
            <w:tcW w:w="851" w:type="dxa"/>
            <w:vAlign w:val="center"/>
            <w:hideMark/>
          </w:tcPr>
          <w:p w14:paraId="4666E521" w14:textId="77777777" w:rsidR="005628CF" w:rsidRPr="00D875A4" w:rsidRDefault="005628CF" w:rsidP="0078682E">
            <w:pPr>
              <w:spacing w:before="20" w:after="20"/>
              <w:jc w:val="right"/>
              <w:rPr>
                <w:sz w:val="24"/>
                <w:szCs w:val="24"/>
                <w:lang w:val="en-US"/>
              </w:rPr>
            </w:pPr>
            <w:r w:rsidRPr="00D875A4">
              <w:rPr>
                <w:sz w:val="24"/>
                <w:szCs w:val="24"/>
                <w:lang w:val="en-US"/>
              </w:rPr>
              <w:t>1.800</w:t>
            </w:r>
          </w:p>
        </w:tc>
        <w:tc>
          <w:tcPr>
            <w:tcW w:w="1134" w:type="dxa"/>
            <w:vAlign w:val="center"/>
            <w:hideMark/>
          </w:tcPr>
          <w:p w14:paraId="747100DF" w14:textId="77777777" w:rsidR="005628CF" w:rsidRPr="00D875A4" w:rsidRDefault="005628CF" w:rsidP="0078682E">
            <w:pPr>
              <w:spacing w:before="20" w:after="20"/>
              <w:jc w:val="right"/>
              <w:rPr>
                <w:sz w:val="24"/>
                <w:szCs w:val="24"/>
                <w:lang w:val="en-US"/>
              </w:rPr>
            </w:pPr>
            <w:r w:rsidRPr="00D875A4">
              <w:rPr>
                <w:sz w:val="24"/>
                <w:szCs w:val="24"/>
                <w:lang w:val="en-US"/>
              </w:rPr>
              <w:t>1.123</w:t>
            </w:r>
          </w:p>
        </w:tc>
        <w:tc>
          <w:tcPr>
            <w:tcW w:w="850" w:type="dxa"/>
            <w:vAlign w:val="center"/>
            <w:hideMark/>
          </w:tcPr>
          <w:p w14:paraId="2E3B5BB5" w14:textId="77777777" w:rsidR="005628CF" w:rsidRPr="00D875A4" w:rsidRDefault="005628CF" w:rsidP="0078682E">
            <w:pPr>
              <w:spacing w:before="20" w:after="20"/>
              <w:jc w:val="right"/>
              <w:rPr>
                <w:sz w:val="24"/>
                <w:szCs w:val="24"/>
                <w:lang w:val="en-US"/>
              </w:rPr>
            </w:pPr>
            <w:r w:rsidRPr="00D875A4">
              <w:rPr>
                <w:sz w:val="24"/>
                <w:szCs w:val="24"/>
                <w:lang w:val="en-US"/>
              </w:rPr>
              <w:t>0.200</w:t>
            </w:r>
          </w:p>
        </w:tc>
        <w:tc>
          <w:tcPr>
            <w:tcW w:w="856" w:type="dxa"/>
            <w:vAlign w:val="center"/>
            <w:hideMark/>
          </w:tcPr>
          <w:p w14:paraId="3639E96C" w14:textId="77777777" w:rsidR="005628CF" w:rsidRPr="00D875A4" w:rsidRDefault="005628CF" w:rsidP="0078682E">
            <w:pPr>
              <w:spacing w:before="20" w:after="20"/>
              <w:jc w:val="right"/>
              <w:rPr>
                <w:sz w:val="24"/>
                <w:szCs w:val="24"/>
                <w:lang w:val="en-US"/>
              </w:rPr>
            </w:pPr>
            <w:r w:rsidRPr="00D875A4">
              <w:rPr>
                <w:sz w:val="24"/>
                <w:szCs w:val="24"/>
                <w:lang w:val="en-US"/>
              </w:rPr>
              <w:t>5.600</w:t>
            </w:r>
          </w:p>
        </w:tc>
        <w:tc>
          <w:tcPr>
            <w:tcW w:w="1701" w:type="dxa"/>
            <w:vAlign w:val="center"/>
            <w:hideMark/>
          </w:tcPr>
          <w:p w14:paraId="66BCB6B0"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r w:rsidR="005628CF" w:rsidRPr="00D875A4" w14:paraId="6F30EB03" w14:textId="77777777" w:rsidTr="0078682E">
        <w:tc>
          <w:tcPr>
            <w:tcW w:w="3964" w:type="dxa"/>
            <w:vAlign w:val="center"/>
            <w:hideMark/>
          </w:tcPr>
          <w:p w14:paraId="154BD239" w14:textId="77777777" w:rsidR="005628CF" w:rsidRPr="00D875A4" w:rsidRDefault="005628CF" w:rsidP="0078682E">
            <w:pPr>
              <w:spacing w:before="20" w:after="20"/>
              <w:jc w:val="left"/>
              <w:rPr>
                <w:sz w:val="24"/>
                <w:szCs w:val="24"/>
                <w:lang w:val="en-US"/>
              </w:rPr>
            </w:pPr>
            <w:r w:rsidRPr="00D875A4">
              <w:rPr>
                <w:sz w:val="24"/>
                <w:szCs w:val="24"/>
                <w:lang w:val="en-US"/>
              </w:rPr>
              <w:t>Age (ln(Years since Incorporation))</w:t>
            </w:r>
          </w:p>
        </w:tc>
        <w:tc>
          <w:tcPr>
            <w:tcW w:w="851" w:type="dxa"/>
            <w:vAlign w:val="center"/>
            <w:hideMark/>
          </w:tcPr>
          <w:p w14:paraId="18CC814B" w14:textId="77777777" w:rsidR="005628CF" w:rsidRPr="00D875A4" w:rsidRDefault="005628CF" w:rsidP="0078682E">
            <w:pPr>
              <w:spacing w:before="20" w:after="20"/>
              <w:jc w:val="right"/>
              <w:rPr>
                <w:sz w:val="24"/>
                <w:szCs w:val="24"/>
                <w:lang w:val="en-US"/>
              </w:rPr>
            </w:pPr>
            <w:r w:rsidRPr="00D875A4">
              <w:rPr>
                <w:sz w:val="24"/>
                <w:szCs w:val="24"/>
                <w:lang w:val="en-US"/>
              </w:rPr>
              <w:t>2.100</w:t>
            </w:r>
          </w:p>
        </w:tc>
        <w:tc>
          <w:tcPr>
            <w:tcW w:w="1134" w:type="dxa"/>
            <w:vAlign w:val="center"/>
            <w:hideMark/>
          </w:tcPr>
          <w:p w14:paraId="7888D0A4" w14:textId="77777777" w:rsidR="005628CF" w:rsidRPr="00D875A4" w:rsidRDefault="005628CF" w:rsidP="0078682E">
            <w:pPr>
              <w:spacing w:before="20" w:after="20"/>
              <w:jc w:val="right"/>
              <w:rPr>
                <w:sz w:val="24"/>
                <w:szCs w:val="24"/>
                <w:lang w:val="en-US"/>
              </w:rPr>
            </w:pPr>
            <w:r w:rsidRPr="00D875A4">
              <w:rPr>
                <w:sz w:val="24"/>
                <w:szCs w:val="24"/>
                <w:lang w:val="en-US"/>
              </w:rPr>
              <w:t>0.567</w:t>
            </w:r>
          </w:p>
        </w:tc>
        <w:tc>
          <w:tcPr>
            <w:tcW w:w="850" w:type="dxa"/>
            <w:vAlign w:val="center"/>
            <w:hideMark/>
          </w:tcPr>
          <w:p w14:paraId="33B91ED6" w14:textId="77777777" w:rsidR="005628CF" w:rsidRPr="00D875A4" w:rsidRDefault="005628CF" w:rsidP="0078682E">
            <w:pPr>
              <w:spacing w:before="20" w:after="20"/>
              <w:jc w:val="right"/>
              <w:rPr>
                <w:sz w:val="24"/>
                <w:szCs w:val="24"/>
                <w:lang w:val="en-US"/>
              </w:rPr>
            </w:pPr>
            <w:r w:rsidRPr="00D875A4">
              <w:rPr>
                <w:sz w:val="24"/>
                <w:szCs w:val="24"/>
                <w:lang w:val="en-US"/>
              </w:rPr>
              <w:t>0.693</w:t>
            </w:r>
          </w:p>
        </w:tc>
        <w:tc>
          <w:tcPr>
            <w:tcW w:w="856" w:type="dxa"/>
            <w:vAlign w:val="center"/>
            <w:hideMark/>
          </w:tcPr>
          <w:p w14:paraId="5FE0C9F0" w14:textId="77777777" w:rsidR="005628CF" w:rsidRPr="00D875A4" w:rsidRDefault="005628CF" w:rsidP="0078682E">
            <w:pPr>
              <w:spacing w:before="20" w:after="20"/>
              <w:jc w:val="right"/>
              <w:rPr>
                <w:sz w:val="24"/>
                <w:szCs w:val="24"/>
                <w:lang w:val="en-US"/>
              </w:rPr>
            </w:pPr>
            <w:r w:rsidRPr="00D875A4">
              <w:rPr>
                <w:sz w:val="24"/>
                <w:szCs w:val="24"/>
                <w:lang w:val="en-US"/>
              </w:rPr>
              <w:t>3.200</w:t>
            </w:r>
          </w:p>
        </w:tc>
        <w:tc>
          <w:tcPr>
            <w:tcW w:w="1701" w:type="dxa"/>
            <w:vAlign w:val="center"/>
            <w:hideMark/>
          </w:tcPr>
          <w:p w14:paraId="4DAFDFFE" w14:textId="77777777" w:rsidR="005628CF" w:rsidRPr="00D875A4" w:rsidRDefault="005628CF" w:rsidP="0078682E">
            <w:pPr>
              <w:spacing w:before="20" w:after="20"/>
              <w:jc w:val="right"/>
              <w:rPr>
                <w:sz w:val="24"/>
                <w:szCs w:val="24"/>
                <w:lang w:val="en-US"/>
              </w:rPr>
            </w:pPr>
            <w:r w:rsidRPr="00D875A4">
              <w:rPr>
                <w:sz w:val="24"/>
                <w:szCs w:val="24"/>
                <w:lang w:val="en-US"/>
              </w:rPr>
              <w:t>9,555</w:t>
            </w:r>
          </w:p>
        </w:tc>
      </w:tr>
    </w:tbl>
    <w:p w14:paraId="73AAC48E" w14:textId="60A8AFA5" w:rsidR="00A4016A" w:rsidRPr="00D875A4" w:rsidRDefault="00A4016A" w:rsidP="00D70EDA">
      <w:pPr>
        <w:pStyle w:val="Content"/>
        <w:jc w:val="right"/>
        <w:rPr>
          <w:b/>
          <w:i/>
          <w:iCs/>
          <w:lang w:val="en-US"/>
        </w:rPr>
      </w:pPr>
      <w:r w:rsidRPr="00D875A4">
        <w:rPr>
          <w:i/>
          <w:iCs/>
          <w:lang w:val="en-US"/>
        </w:rPr>
        <w:t>Source: Authors' calculations from Vietstock and FiinPro data</w:t>
      </w:r>
      <w:r w:rsidR="005628CF" w:rsidRPr="00D875A4">
        <w:rPr>
          <w:i/>
          <w:iCs/>
          <w:lang w:val="en-US"/>
        </w:rPr>
        <w:t>, 2006</w:t>
      </w:r>
      <w:r w:rsidR="00CE2AE1">
        <w:rPr>
          <w:i/>
          <w:iCs/>
          <w:lang w:val="en-US"/>
        </w:rPr>
        <w:t>-</w:t>
      </w:r>
      <w:r w:rsidR="005628CF" w:rsidRPr="00D875A4">
        <w:rPr>
          <w:i/>
          <w:iCs/>
          <w:lang w:val="en-US"/>
        </w:rPr>
        <w:t>2022. Winsorized at 1%</w:t>
      </w:r>
      <w:r w:rsidRPr="00D875A4">
        <w:rPr>
          <w:i/>
          <w:iCs/>
          <w:lang w:val="en-US"/>
        </w:rPr>
        <w:t>.</w:t>
      </w:r>
    </w:p>
    <w:p w14:paraId="4C8D7ADC" w14:textId="77777777" w:rsidR="0078682E" w:rsidRPr="00D875A4" w:rsidRDefault="0078682E" w:rsidP="004B1DAB">
      <w:pPr>
        <w:pStyle w:val="Heading2"/>
        <w:sectPr w:rsidR="0078682E" w:rsidRPr="00D875A4" w:rsidSect="0078682E">
          <w:type w:val="continuous"/>
          <w:pgSz w:w="11906" w:h="16838"/>
          <w:pgMar w:top="1134" w:right="1134" w:bottom="1134" w:left="1418" w:header="720" w:footer="720" w:gutter="0"/>
          <w:pgNumType w:start="1"/>
          <w:cols w:space="567"/>
          <w:docGrid w:linePitch="354"/>
        </w:sectPr>
      </w:pPr>
    </w:p>
    <w:p w14:paraId="6C4E5E81" w14:textId="75B9C275" w:rsidR="00C23E2A" w:rsidRPr="00D875A4" w:rsidRDefault="00C23E2A" w:rsidP="004B1DAB">
      <w:pPr>
        <w:pStyle w:val="Heading2"/>
      </w:pPr>
      <w:r w:rsidRPr="00D875A4">
        <w:t xml:space="preserve">4.2. Regression </w:t>
      </w:r>
      <w:r w:rsidR="006C0F0F">
        <w:t>r</w:t>
      </w:r>
      <w:r w:rsidRPr="00D875A4">
        <w:t>esults</w:t>
      </w:r>
      <w:r w:rsidR="006C0F0F">
        <w:t xml:space="preserve"> and r</w:t>
      </w:r>
      <w:r w:rsidR="006C0F0F" w:rsidRPr="006C0F0F">
        <w:t xml:space="preserve">obustness </w:t>
      </w:r>
      <w:r w:rsidR="006C0F0F">
        <w:t>c</w:t>
      </w:r>
      <w:r w:rsidR="006C0F0F" w:rsidRPr="006C0F0F">
        <w:t>hecks</w:t>
      </w:r>
    </w:p>
    <w:p w14:paraId="1C4B1AA0" w14:textId="5476D4A8" w:rsidR="00216C7D" w:rsidRPr="00D875A4" w:rsidRDefault="00216C7D" w:rsidP="004B1DAB">
      <w:pPr>
        <w:pStyle w:val="Content"/>
        <w:rPr>
          <w:lang w:val="en-US"/>
        </w:rPr>
      </w:pPr>
      <w:r w:rsidRPr="00D875A4">
        <w:rPr>
          <w:lang w:val="en-US"/>
        </w:rPr>
        <w:t xml:space="preserve">Primary estimates from System GMM and 2SLS (Table </w:t>
      </w:r>
      <w:r w:rsidR="00CE5B33">
        <w:rPr>
          <w:lang w:val="en-US"/>
        </w:rPr>
        <w:t>3</w:t>
      </w:r>
      <w:r w:rsidRPr="00D875A4">
        <w:rPr>
          <w:lang w:val="en-US"/>
        </w:rPr>
        <w:t xml:space="preserve">) confirm a significant negative leverage-performance link, robust across metrics. For ROA, GMM yields -0.142* (SE 0.031), implying a 1% leverage rise reduces ROA by 0.142 percentage points - 2.7% of mean ROA, economically substantial in Vietnam's context of high borrowing costs. Similar for ROE (-0.216***, SE 0.045; 1.9% of mean) and EPS (-0.312***, SE 0.068; 2.1% of mean). 2SLS corroborates (-0.138*** for ROA), with diagnostics affirming validity: AR(1) p&lt;0.01 (expected persistence), AR(2) p=0.15 (no autocorrelation), Hansen p=0.28 (instruments </w:t>
      </w:r>
      <w:r w:rsidRPr="00D875A4">
        <w:rPr>
          <w:lang w:val="en-US"/>
        </w:rPr>
        <w:t>exogenous). Controls are consistent: size and growth positive (scale/opportunity effects), tangibility positive for ROA (collateral), liquidity positive (buffer), age negative (diminishing returns). Baseline OLS/REM show attenuated negatives (-0.098*** for ROA), highlighting endogeneity bias - critically, this upward bias in priors (e.g., without GMM) overstates leverage benefits, underscoring our methodological advance.**</w:t>
      </w:r>
    </w:p>
    <w:p w14:paraId="5166F86B" w14:textId="4EB5095E" w:rsidR="00CE5B33" w:rsidRPr="00CE5B33" w:rsidRDefault="00CE5B33" w:rsidP="004B1DAB">
      <w:pPr>
        <w:pStyle w:val="Content"/>
        <w:rPr>
          <w:lang w:val="en-US"/>
        </w:rPr>
        <w:sectPr w:rsidR="00CE5B33" w:rsidRPr="00CE5B33" w:rsidSect="00EA4B92">
          <w:type w:val="continuous"/>
          <w:pgSz w:w="11906" w:h="16838"/>
          <w:pgMar w:top="1134" w:right="1134" w:bottom="1134" w:left="1418" w:header="720" w:footer="720" w:gutter="0"/>
          <w:pgNumType w:start="1"/>
          <w:cols w:num="2" w:space="567"/>
          <w:docGrid w:linePitch="354"/>
        </w:sectPr>
      </w:pPr>
      <w:r w:rsidRPr="00CE5B33">
        <w:rPr>
          <w:lang w:val="en-US"/>
        </w:rPr>
        <w:t xml:space="preserve">Findings are consistent across alternative performance metrics (ROE, EPS), leverage measures (debt-to-equity), and subsample </w:t>
      </w:r>
      <w:r w:rsidRPr="00CE5B33">
        <w:rPr>
          <w:lang w:val="en-US"/>
        </w:rPr>
        <w:lastRenderedPageBreak/>
        <w:t>exclusions (e.g., post-2019 for COVID effects). Instrument validity holds per tests.</w:t>
      </w:r>
    </w:p>
    <w:p w14:paraId="2A318255" w14:textId="4ECA6B07" w:rsidR="00A1437C" w:rsidRPr="00D875A4" w:rsidRDefault="00840651" w:rsidP="0078682E">
      <w:pPr>
        <w:pStyle w:val="Content"/>
        <w:spacing w:before="240"/>
        <w:rPr>
          <w:lang w:val="en-US"/>
        </w:rPr>
      </w:pPr>
      <w:r w:rsidRPr="00D875A4">
        <w:rPr>
          <w:b/>
          <w:bCs/>
          <w:lang w:val="en-US"/>
        </w:rPr>
        <w:t xml:space="preserve">Table </w:t>
      </w:r>
      <w:r w:rsidR="00B7274B">
        <w:rPr>
          <w:b/>
          <w:bCs/>
          <w:lang w:val="en-US"/>
        </w:rPr>
        <w:t>3</w:t>
      </w:r>
      <w:r w:rsidRPr="00D875A4">
        <w:rPr>
          <w:b/>
          <w:bCs/>
          <w:lang w:val="en-US"/>
        </w:rPr>
        <w:t xml:space="preserve">: </w:t>
      </w:r>
      <w:r w:rsidRPr="00D875A4">
        <w:rPr>
          <w:lang w:val="en-US"/>
        </w:rPr>
        <w:t>Main Regression Results (System GMM and 2SLS as Primary, OLS/REM as Baseline)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63"/>
        <w:gridCol w:w="911"/>
        <w:gridCol w:w="911"/>
        <w:gridCol w:w="911"/>
        <w:gridCol w:w="911"/>
        <w:gridCol w:w="911"/>
        <w:gridCol w:w="911"/>
        <w:gridCol w:w="911"/>
        <w:gridCol w:w="911"/>
      </w:tblGrid>
      <w:tr w:rsidR="00573E8D" w:rsidRPr="00D875A4" w14:paraId="303B1FA5" w14:textId="77777777" w:rsidTr="00573E8D">
        <w:trPr>
          <w:tblHeader/>
        </w:trPr>
        <w:tc>
          <w:tcPr>
            <w:tcW w:w="2063" w:type="dxa"/>
            <w:vAlign w:val="center"/>
            <w:hideMark/>
          </w:tcPr>
          <w:p w14:paraId="59059AAD" w14:textId="77777777" w:rsidR="00713CB3" w:rsidRPr="00D875A4" w:rsidRDefault="00713CB3" w:rsidP="00713CB3">
            <w:pPr>
              <w:jc w:val="center"/>
              <w:rPr>
                <w:b/>
                <w:bCs/>
                <w:lang w:val="en-US"/>
              </w:rPr>
            </w:pPr>
            <w:r w:rsidRPr="00D875A4">
              <w:rPr>
                <w:b/>
                <w:bCs/>
                <w:lang w:val="en-US"/>
              </w:rPr>
              <w:t>Variable</w:t>
            </w:r>
          </w:p>
        </w:tc>
        <w:tc>
          <w:tcPr>
            <w:tcW w:w="911" w:type="dxa"/>
            <w:vAlign w:val="center"/>
            <w:hideMark/>
          </w:tcPr>
          <w:p w14:paraId="470BD60F" w14:textId="77777777" w:rsidR="00713CB3" w:rsidRPr="00D875A4" w:rsidRDefault="00713CB3" w:rsidP="00713CB3">
            <w:pPr>
              <w:jc w:val="center"/>
              <w:rPr>
                <w:b/>
                <w:bCs/>
                <w:lang w:val="en-US"/>
              </w:rPr>
            </w:pPr>
            <w:r w:rsidRPr="00D875A4">
              <w:rPr>
                <w:b/>
                <w:bCs/>
                <w:lang w:val="en-US"/>
              </w:rPr>
              <w:t>ROA (GMM)</w:t>
            </w:r>
          </w:p>
        </w:tc>
        <w:tc>
          <w:tcPr>
            <w:tcW w:w="911" w:type="dxa"/>
            <w:vAlign w:val="center"/>
            <w:hideMark/>
          </w:tcPr>
          <w:p w14:paraId="2C1FD6EA" w14:textId="77777777" w:rsidR="00713CB3" w:rsidRPr="00D875A4" w:rsidRDefault="00713CB3" w:rsidP="00713CB3">
            <w:pPr>
              <w:jc w:val="center"/>
              <w:rPr>
                <w:b/>
                <w:bCs/>
                <w:lang w:val="en-US"/>
              </w:rPr>
            </w:pPr>
            <w:r w:rsidRPr="00D875A4">
              <w:rPr>
                <w:b/>
                <w:bCs/>
                <w:lang w:val="en-US"/>
              </w:rPr>
              <w:t>ROA (2SLS)</w:t>
            </w:r>
          </w:p>
        </w:tc>
        <w:tc>
          <w:tcPr>
            <w:tcW w:w="911" w:type="dxa"/>
            <w:vAlign w:val="center"/>
            <w:hideMark/>
          </w:tcPr>
          <w:p w14:paraId="5C84A433" w14:textId="77777777" w:rsidR="00713CB3" w:rsidRPr="00D875A4" w:rsidRDefault="00713CB3" w:rsidP="00713CB3">
            <w:pPr>
              <w:jc w:val="center"/>
              <w:rPr>
                <w:b/>
                <w:bCs/>
                <w:lang w:val="en-US"/>
              </w:rPr>
            </w:pPr>
            <w:r w:rsidRPr="00D875A4">
              <w:rPr>
                <w:b/>
                <w:bCs/>
                <w:lang w:val="en-US"/>
              </w:rPr>
              <w:t>ROA (OLS)</w:t>
            </w:r>
          </w:p>
        </w:tc>
        <w:tc>
          <w:tcPr>
            <w:tcW w:w="911" w:type="dxa"/>
            <w:vAlign w:val="center"/>
            <w:hideMark/>
          </w:tcPr>
          <w:p w14:paraId="679C2685" w14:textId="77777777" w:rsidR="00713CB3" w:rsidRPr="00D875A4" w:rsidRDefault="00713CB3" w:rsidP="00713CB3">
            <w:pPr>
              <w:jc w:val="center"/>
              <w:rPr>
                <w:b/>
                <w:bCs/>
                <w:lang w:val="en-US"/>
              </w:rPr>
            </w:pPr>
            <w:r w:rsidRPr="00D875A4">
              <w:rPr>
                <w:b/>
                <w:bCs/>
                <w:lang w:val="en-US"/>
              </w:rPr>
              <w:t>ROA (REM)</w:t>
            </w:r>
          </w:p>
        </w:tc>
        <w:tc>
          <w:tcPr>
            <w:tcW w:w="911" w:type="dxa"/>
            <w:vAlign w:val="center"/>
            <w:hideMark/>
          </w:tcPr>
          <w:p w14:paraId="6C7EAF07" w14:textId="77777777" w:rsidR="00713CB3" w:rsidRPr="00D875A4" w:rsidRDefault="00713CB3" w:rsidP="00713CB3">
            <w:pPr>
              <w:jc w:val="center"/>
              <w:rPr>
                <w:b/>
                <w:bCs/>
                <w:lang w:val="en-US"/>
              </w:rPr>
            </w:pPr>
            <w:r w:rsidRPr="00D875A4">
              <w:rPr>
                <w:b/>
                <w:bCs/>
                <w:lang w:val="en-US"/>
              </w:rPr>
              <w:t>ROE (GMM)</w:t>
            </w:r>
          </w:p>
        </w:tc>
        <w:tc>
          <w:tcPr>
            <w:tcW w:w="911" w:type="dxa"/>
            <w:vAlign w:val="center"/>
            <w:hideMark/>
          </w:tcPr>
          <w:p w14:paraId="530DA344" w14:textId="77777777" w:rsidR="00713CB3" w:rsidRPr="00D875A4" w:rsidRDefault="00713CB3" w:rsidP="00713CB3">
            <w:pPr>
              <w:jc w:val="center"/>
              <w:rPr>
                <w:b/>
                <w:bCs/>
                <w:lang w:val="en-US"/>
              </w:rPr>
            </w:pPr>
            <w:r w:rsidRPr="00D875A4">
              <w:rPr>
                <w:b/>
                <w:bCs/>
                <w:lang w:val="en-US"/>
              </w:rPr>
              <w:t>ROE (2SLS)</w:t>
            </w:r>
          </w:p>
        </w:tc>
        <w:tc>
          <w:tcPr>
            <w:tcW w:w="911" w:type="dxa"/>
            <w:vAlign w:val="center"/>
            <w:hideMark/>
          </w:tcPr>
          <w:p w14:paraId="4D3D4E21" w14:textId="77777777" w:rsidR="00713CB3" w:rsidRPr="00D875A4" w:rsidRDefault="00713CB3" w:rsidP="00713CB3">
            <w:pPr>
              <w:jc w:val="center"/>
              <w:rPr>
                <w:b/>
                <w:bCs/>
                <w:lang w:val="en-US"/>
              </w:rPr>
            </w:pPr>
            <w:r w:rsidRPr="00D875A4">
              <w:rPr>
                <w:b/>
                <w:bCs/>
                <w:lang w:val="en-US"/>
              </w:rPr>
              <w:t>EPS (GMM)</w:t>
            </w:r>
          </w:p>
        </w:tc>
        <w:tc>
          <w:tcPr>
            <w:tcW w:w="911" w:type="dxa"/>
            <w:vAlign w:val="center"/>
            <w:hideMark/>
          </w:tcPr>
          <w:p w14:paraId="43EB2D71" w14:textId="77777777" w:rsidR="00713CB3" w:rsidRPr="00D875A4" w:rsidRDefault="00713CB3" w:rsidP="00713CB3">
            <w:pPr>
              <w:jc w:val="center"/>
              <w:rPr>
                <w:b/>
                <w:bCs/>
                <w:lang w:val="en-US"/>
              </w:rPr>
            </w:pPr>
            <w:r w:rsidRPr="00D875A4">
              <w:rPr>
                <w:b/>
                <w:bCs/>
                <w:lang w:val="en-US"/>
              </w:rPr>
              <w:t>EPS (2SLS)</w:t>
            </w:r>
          </w:p>
        </w:tc>
      </w:tr>
      <w:tr w:rsidR="00573E8D" w:rsidRPr="00D875A4" w14:paraId="496B2F2B" w14:textId="77777777" w:rsidTr="00573E8D">
        <w:tc>
          <w:tcPr>
            <w:tcW w:w="2063" w:type="dxa"/>
            <w:vAlign w:val="center"/>
            <w:hideMark/>
          </w:tcPr>
          <w:p w14:paraId="6739BD61" w14:textId="77777777" w:rsidR="00713CB3" w:rsidRPr="00D875A4" w:rsidRDefault="00713CB3" w:rsidP="00713CB3">
            <w:pPr>
              <w:jc w:val="left"/>
              <w:rPr>
                <w:lang w:val="en-US"/>
              </w:rPr>
            </w:pPr>
            <w:r w:rsidRPr="00D875A4">
              <w:rPr>
                <w:lang w:val="en-US"/>
              </w:rPr>
              <w:t>Leverage (LEV1)</w:t>
            </w:r>
          </w:p>
        </w:tc>
        <w:tc>
          <w:tcPr>
            <w:tcW w:w="911" w:type="dxa"/>
            <w:vAlign w:val="center"/>
            <w:hideMark/>
          </w:tcPr>
          <w:p w14:paraId="2D23142C" w14:textId="5F1C59F9" w:rsidR="00713CB3" w:rsidRPr="00D875A4" w:rsidRDefault="00713CB3" w:rsidP="0078682E">
            <w:pPr>
              <w:jc w:val="right"/>
              <w:rPr>
                <w:lang w:val="en-US"/>
              </w:rPr>
            </w:pPr>
            <w:r w:rsidRPr="00D875A4">
              <w:rPr>
                <w:lang w:val="en-US"/>
              </w:rPr>
              <w:t>-0.142</w:t>
            </w:r>
            <w:r w:rsidR="0078682E" w:rsidRPr="00D875A4">
              <w:rPr>
                <w:lang w:val="en-US"/>
              </w:rPr>
              <w:br/>
              <w:t>***</w:t>
            </w:r>
            <w:r w:rsidRPr="00D875A4">
              <w:rPr>
                <w:lang w:val="en-US"/>
              </w:rPr>
              <w:t xml:space="preserve"> (0.031)</w:t>
            </w:r>
          </w:p>
        </w:tc>
        <w:tc>
          <w:tcPr>
            <w:tcW w:w="911" w:type="dxa"/>
            <w:vAlign w:val="center"/>
            <w:hideMark/>
          </w:tcPr>
          <w:p w14:paraId="35C99EF9" w14:textId="716A4DEF" w:rsidR="00713CB3" w:rsidRPr="00D875A4" w:rsidRDefault="00713CB3" w:rsidP="0078682E">
            <w:pPr>
              <w:jc w:val="right"/>
              <w:rPr>
                <w:lang w:val="en-US"/>
              </w:rPr>
            </w:pPr>
            <w:r w:rsidRPr="00D875A4">
              <w:rPr>
                <w:lang w:val="en-US"/>
              </w:rPr>
              <w:t>-0.138</w:t>
            </w:r>
            <w:r w:rsidR="0078682E" w:rsidRPr="00D875A4">
              <w:rPr>
                <w:lang w:val="en-US"/>
              </w:rPr>
              <w:br/>
              <w:t>***</w:t>
            </w:r>
            <w:r w:rsidRPr="00D875A4">
              <w:rPr>
                <w:lang w:val="en-US"/>
              </w:rPr>
              <w:t xml:space="preserve"> (0.029)</w:t>
            </w:r>
          </w:p>
        </w:tc>
        <w:tc>
          <w:tcPr>
            <w:tcW w:w="911" w:type="dxa"/>
            <w:vAlign w:val="center"/>
            <w:hideMark/>
          </w:tcPr>
          <w:p w14:paraId="12E478C6" w14:textId="31A42862" w:rsidR="00713CB3" w:rsidRPr="00D875A4" w:rsidRDefault="00713CB3" w:rsidP="0078682E">
            <w:pPr>
              <w:jc w:val="right"/>
              <w:rPr>
                <w:lang w:val="en-US"/>
              </w:rPr>
            </w:pPr>
            <w:r w:rsidRPr="00D875A4">
              <w:rPr>
                <w:lang w:val="en-US"/>
              </w:rPr>
              <w:t>-0.098</w:t>
            </w:r>
            <w:r w:rsidR="0078682E" w:rsidRPr="00D875A4">
              <w:rPr>
                <w:lang w:val="en-US"/>
              </w:rPr>
              <w:br/>
              <w:t>***</w:t>
            </w:r>
            <w:r w:rsidRPr="00D875A4">
              <w:rPr>
                <w:lang w:val="en-US"/>
              </w:rPr>
              <w:t xml:space="preserve"> (0.022)</w:t>
            </w:r>
          </w:p>
        </w:tc>
        <w:tc>
          <w:tcPr>
            <w:tcW w:w="911" w:type="dxa"/>
            <w:vAlign w:val="center"/>
            <w:hideMark/>
          </w:tcPr>
          <w:p w14:paraId="61F9EDE3" w14:textId="0AD4F0C6" w:rsidR="00713CB3" w:rsidRPr="00D875A4" w:rsidRDefault="00713CB3" w:rsidP="0078682E">
            <w:pPr>
              <w:jc w:val="right"/>
              <w:rPr>
                <w:lang w:val="en-US"/>
              </w:rPr>
            </w:pPr>
            <w:r w:rsidRPr="00D875A4">
              <w:rPr>
                <w:lang w:val="en-US"/>
              </w:rPr>
              <w:t>-0.105</w:t>
            </w:r>
            <w:r w:rsidR="0078682E" w:rsidRPr="00D875A4">
              <w:rPr>
                <w:lang w:val="en-US"/>
              </w:rPr>
              <w:br/>
              <w:t>***</w:t>
            </w:r>
            <w:r w:rsidRPr="00D875A4">
              <w:rPr>
                <w:lang w:val="en-US"/>
              </w:rPr>
              <w:t xml:space="preserve"> (0.025)</w:t>
            </w:r>
          </w:p>
        </w:tc>
        <w:tc>
          <w:tcPr>
            <w:tcW w:w="911" w:type="dxa"/>
            <w:vAlign w:val="center"/>
            <w:hideMark/>
          </w:tcPr>
          <w:p w14:paraId="4C2812E1" w14:textId="0A8E0ADB" w:rsidR="00713CB3" w:rsidRPr="00D875A4" w:rsidRDefault="00713CB3" w:rsidP="0078682E">
            <w:pPr>
              <w:jc w:val="right"/>
              <w:rPr>
                <w:lang w:val="en-US"/>
              </w:rPr>
            </w:pPr>
            <w:r w:rsidRPr="00D875A4">
              <w:rPr>
                <w:lang w:val="en-US"/>
              </w:rPr>
              <w:t>-0.216</w:t>
            </w:r>
            <w:r w:rsidR="0078682E" w:rsidRPr="00D875A4">
              <w:rPr>
                <w:lang w:val="en-US"/>
              </w:rPr>
              <w:br/>
              <w:t>***</w:t>
            </w:r>
            <w:r w:rsidRPr="00D875A4">
              <w:rPr>
                <w:lang w:val="en-US"/>
              </w:rPr>
              <w:t xml:space="preserve"> (0.045)</w:t>
            </w:r>
          </w:p>
        </w:tc>
        <w:tc>
          <w:tcPr>
            <w:tcW w:w="911" w:type="dxa"/>
            <w:vAlign w:val="center"/>
            <w:hideMark/>
          </w:tcPr>
          <w:p w14:paraId="38690D6B" w14:textId="5886CE27" w:rsidR="00713CB3" w:rsidRPr="00D875A4" w:rsidRDefault="00713CB3" w:rsidP="0078682E">
            <w:pPr>
              <w:jc w:val="right"/>
              <w:rPr>
                <w:lang w:val="en-US"/>
              </w:rPr>
            </w:pPr>
            <w:r w:rsidRPr="00D875A4">
              <w:rPr>
                <w:lang w:val="en-US"/>
              </w:rPr>
              <w:t>-0.209</w:t>
            </w:r>
            <w:r w:rsidR="0078682E" w:rsidRPr="00D875A4">
              <w:rPr>
                <w:lang w:val="en-US"/>
              </w:rPr>
              <w:br/>
              <w:t>***</w:t>
            </w:r>
            <w:r w:rsidRPr="00D875A4">
              <w:rPr>
                <w:lang w:val="en-US"/>
              </w:rPr>
              <w:t xml:space="preserve"> (0.042)</w:t>
            </w:r>
          </w:p>
        </w:tc>
        <w:tc>
          <w:tcPr>
            <w:tcW w:w="911" w:type="dxa"/>
            <w:vAlign w:val="center"/>
            <w:hideMark/>
          </w:tcPr>
          <w:p w14:paraId="313486E2" w14:textId="72F921DC" w:rsidR="00713CB3" w:rsidRPr="00D875A4" w:rsidRDefault="00713CB3" w:rsidP="0078682E">
            <w:pPr>
              <w:jc w:val="right"/>
              <w:rPr>
                <w:lang w:val="en-US"/>
              </w:rPr>
            </w:pPr>
            <w:r w:rsidRPr="00D875A4">
              <w:rPr>
                <w:lang w:val="en-US"/>
              </w:rPr>
              <w:t>-0.312</w:t>
            </w:r>
            <w:r w:rsidR="0078682E" w:rsidRPr="00D875A4">
              <w:rPr>
                <w:lang w:val="en-US"/>
              </w:rPr>
              <w:br/>
              <w:t>***</w:t>
            </w:r>
            <w:r w:rsidRPr="00D875A4">
              <w:rPr>
                <w:lang w:val="en-US"/>
              </w:rPr>
              <w:t xml:space="preserve"> (0.068)</w:t>
            </w:r>
          </w:p>
        </w:tc>
        <w:tc>
          <w:tcPr>
            <w:tcW w:w="911" w:type="dxa"/>
            <w:vAlign w:val="center"/>
            <w:hideMark/>
          </w:tcPr>
          <w:p w14:paraId="47274ABE" w14:textId="1ECEE6E9" w:rsidR="00713CB3" w:rsidRPr="00D875A4" w:rsidRDefault="00713CB3" w:rsidP="0078682E">
            <w:pPr>
              <w:jc w:val="right"/>
              <w:rPr>
                <w:lang w:val="en-US"/>
              </w:rPr>
            </w:pPr>
            <w:r w:rsidRPr="00D875A4">
              <w:rPr>
                <w:lang w:val="en-US"/>
              </w:rPr>
              <w:t>-0.301</w:t>
            </w:r>
            <w:r w:rsidR="0078682E" w:rsidRPr="00D875A4">
              <w:rPr>
                <w:lang w:val="en-US"/>
              </w:rPr>
              <w:br/>
              <w:t>***</w:t>
            </w:r>
            <w:r w:rsidRPr="00D875A4">
              <w:rPr>
                <w:lang w:val="en-US"/>
              </w:rPr>
              <w:t xml:space="preserve"> (0.064)</w:t>
            </w:r>
          </w:p>
        </w:tc>
      </w:tr>
      <w:tr w:rsidR="00573E8D" w:rsidRPr="00D875A4" w14:paraId="235A21F2" w14:textId="77777777" w:rsidTr="00573E8D">
        <w:tc>
          <w:tcPr>
            <w:tcW w:w="2063" w:type="dxa"/>
            <w:vAlign w:val="center"/>
            <w:hideMark/>
          </w:tcPr>
          <w:p w14:paraId="2FFD5DC9" w14:textId="77777777" w:rsidR="00713CB3" w:rsidRPr="00D875A4" w:rsidRDefault="00713CB3" w:rsidP="00713CB3">
            <w:pPr>
              <w:jc w:val="left"/>
              <w:rPr>
                <w:lang w:val="en-US"/>
              </w:rPr>
            </w:pPr>
            <w:r w:rsidRPr="00D875A4">
              <w:rPr>
                <w:lang w:val="en-US"/>
              </w:rPr>
              <w:t>Lagged Performance</w:t>
            </w:r>
          </w:p>
        </w:tc>
        <w:tc>
          <w:tcPr>
            <w:tcW w:w="911" w:type="dxa"/>
            <w:vAlign w:val="center"/>
            <w:hideMark/>
          </w:tcPr>
          <w:p w14:paraId="2603C7B4" w14:textId="1890C1BC" w:rsidR="00713CB3" w:rsidRPr="00D875A4" w:rsidRDefault="00713CB3" w:rsidP="0078682E">
            <w:pPr>
              <w:jc w:val="right"/>
              <w:rPr>
                <w:lang w:val="en-US"/>
              </w:rPr>
            </w:pPr>
            <w:r w:rsidRPr="00D875A4">
              <w:rPr>
                <w:lang w:val="en-US"/>
              </w:rPr>
              <w:t>0.312</w:t>
            </w:r>
            <w:r w:rsidR="0078682E" w:rsidRPr="00D875A4">
              <w:rPr>
                <w:lang w:val="en-US"/>
              </w:rPr>
              <w:br/>
              <w:t>***</w:t>
            </w:r>
            <w:r w:rsidRPr="00D875A4">
              <w:rPr>
                <w:lang w:val="en-US"/>
              </w:rPr>
              <w:t xml:space="preserve"> (0.056)</w:t>
            </w:r>
          </w:p>
        </w:tc>
        <w:tc>
          <w:tcPr>
            <w:tcW w:w="911" w:type="dxa"/>
            <w:vAlign w:val="center"/>
            <w:hideMark/>
          </w:tcPr>
          <w:p w14:paraId="7A111C81" w14:textId="354A122D" w:rsidR="00713CB3" w:rsidRPr="00D875A4" w:rsidRDefault="00713CB3" w:rsidP="0078682E">
            <w:pPr>
              <w:jc w:val="right"/>
              <w:rPr>
                <w:lang w:val="en-US"/>
              </w:rPr>
            </w:pPr>
            <w:r w:rsidRPr="00D875A4">
              <w:rPr>
                <w:lang w:val="en-US"/>
              </w:rPr>
              <w:t>0.298</w:t>
            </w:r>
            <w:r w:rsidR="0078682E" w:rsidRPr="00D875A4">
              <w:rPr>
                <w:lang w:val="en-US"/>
              </w:rPr>
              <w:br/>
              <w:t>***</w:t>
            </w:r>
            <w:r w:rsidRPr="00D875A4">
              <w:rPr>
                <w:lang w:val="en-US"/>
              </w:rPr>
              <w:t xml:space="preserve"> (0.052)</w:t>
            </w:r>
          </w:p>
        </w:tc>
        <w:tc>
          <w:tcPr>
            <w:tcW w:w="911" w:type="dxa"/>
            <w:vAlign w:val="center"/>
            <w:hideMark/>
          </w:tcPr>
          <w:p w14:paraId="7D7F7214" w14:textId="77777777" w:rsidR="00713CB3" w:rsidRPr="00D875A4" w:rsidRDefault="00713CB3" w:rsidP="0078682E">
            <w:pPr>
              <w:jc w:val="right"/>
              <w:rPr>
                <w:lang w:val="en-US"/>
              </w:rPr>
            </w:pPr>
            <w:r w:rsidRPr="00D875A4">
              <w:rPr>
                <w:lang w:val="en-US"/>
              </w:rPr>
              <w:t>0.245** (0.048)</w:t>
            </w:r>
          </w:p>
        </w:tc>
        <w:tc>
          <w:tcPr>
            <w:tcW w:w="911" w:type="dxa"/>
            <w:vAlign w:val="center"/>
            <w:hideMark/>
          </w:tcPr>
          <w:p w14:paraId="1D4854CA" w14:textId="4F4850B2" w:rsidR="00713CB3" w:rsidRPr="00D875A4" w:rsidRDefault="00713CB3" w:rsidP="0078682E">
            <w:pPr>
              <w:jc w:val="right"/>
              <w:rPr>
                <w:lang w:val="en-US"/>
              </w:rPr>
            </w:pPr>
            <w:r w:rsidRPr="00D875A4">
              <w:rPr>
                <w:lang w:val="en-US"/>
              </w:rPr>
              <w:t>0.267</w:t>
            </w:r>
            <w:r w:rsidR="0078682E" w:rsidRPr="00D875A4">
              <w:rPr>
                <w:lang w:val="en-US"/>
              </w:rPr>
              <w:br/>
              <w:t>***</w:t>
            </w:r>
            <w:r w:rsidRPr="00D875A4">
              <w:rPr>
                <w:lang w:val="en-US"/>
              </w:rPr>
              <w:t xml:space="preserve"> (0.051)</w:t>
            </w:r>
          </w:p>
        </w:tc>
        <w:tc>
          <w:tcPr>
            <w:tcW w:w="911" w:type="dxa"/>
            <w:vAlign w:val="center"/>
            <w:hideMark/>
          </w:tcPr>
          <w:p w14:paraId="7AE99608" w14:textId="275F39BF" w:rsidR="00713CB3" w:rsidRPr="00D875A4" w:rsidRDefault="00713CB3" w:rsidP="0078682E">
            <w:pPr>
              <w:jc w:val="right"/>
              <w:rPr>
                <w:lang w:val="en-US"/>
              </w:rPr>
            </w:pPr>
            <w:r w:rsidRPr="00D875A4">
              <w:rPr>
                <w:lang w:val="en-US"/>
              </w:rPr>
              <w:t>0.289</w:t>
            </w:r>
            <w:r w:rsidR="0078682E" w:rsidRPr="00D875A4">
              <w:rPr>
                <w:lang w:val="en-US"/>
              </w:rPr>
              <w:br/>
              <w:t>***</w:t>
            </w:r>
            <w:r w:rsidRPr="00D875A4">
              <w:rPr>
                <w:lang w:val="en-US"/>
              </w:rPr>
              <w:t xml:space="preserve"> (0.053)</w:t>
            </w:r>
          </w:p>
        </w:tc>
        <w:tc>
          <w:tcPr>
            <w:tcW w:w="911" w:type="dxa"/>
            <w:vAlign w:val="center"/>
            <w:hideMark/>
          </w:tcPr>
          <w:p w14:paraId="6E2DAA23" w14:textId="5CB092DD" w:rsidR="00713CB3" w:rsidRPr="00D875A4" w:rsidRDefault="00713CB3" w:rsidP="0078682E">
            <w:pPr>
              <w:jc w:val="right"/>
              <w:rPr>
                <w:lang w:val="en-US"/>
              </w:rPr>
            </w:pPr>
            <w:r w:rsidRPr="00D875A4">
              <w:rPr>
                <w:lang w:val="en-US"/>
              </w:rPr>
              <w:t>0.276</w:t>
            </w:r>
            <w:r w:rsidR="0078682E" w:rsidRPr="00D875A4">
              <w:rPr>
                <w:lang w:val="en-US"/>
              </w:rPr>
              <w:br/>
              <w:t>***</w:t>
            </w:r>
            <w:r w:rsidRPr="00D875A4">
              <w:rPr>
                <w:lang w:val="en-US"/>
              </w:rPr>
              <w:t xml:space="preserve"> (0.050)</w:t>
            </w:r>
          </w:p>
        </w:tc>
        <w:tc>
          <w:tcPr>
            <w:tcW w:w="911" w:type="dxa"/>
            <w:vAlign w:val="center"/>
            <w:hideMark/>
          </w:tcPr>
          <w:p w14:paraId="68E4FD05" w14:textId="61F529C6" w:rsidR="00713CB3" w:rsidRPr="00D875A4" w:rsidRDefault="00713CB3" w:rsidP="0078682E">
            <w:pPr>
              <w:jc w:val="right"/>
              <w:rPr>
                <w:lang w:val="en-US"/>
              </w:rPr>
            </w:pPr>
            <w:r w:rsidRPr="00D875A4">
              <w:rPr>
                <w:lang w:val="en-US"/>
              </w:rPr>
              <w:t>0.334</w:t>
            </w:r>
            <w:r w:rsidR="0078682E" w:rsidRPr="00D875A4">
              <w:rPr>
                <w:lang w:val="en-US"/>
              </w:rPr>
              <w:br/>
              <w:t>***</w:t>
            </w:r>
            <w:r w:rsidRPr="00D875A4">
              <w:rPr>
                <w:lang w:val="en-US"/>
              </w:rPr>
              <w:t xml:space="preserve"> (0.061)</w:t>
            </w:r>
          </w:p>
        </w:tc>
        <w:tc>
          <w:tcPr>
            <w:tcW w:w="911" w:type="dxa"/>
            <w:vAlign w:val="center"/>
            <w:hideMark/>
          </w:tcPr>
          <w:p w14:paraId="33CB8FD8" w14:textId="4A254D57" w:rsidR="00713CB3" w:rsidRPr="00D875A4" w:rsidRDefault="00713CB3" w:rsidP="0078682E">
            <w:pPr>
              <w:jc w:val="right"/>
              <w:rPr>
                <w:lang w:val="en-US"/>
              </w:rPr>
            </w:pPr>
            <w:r w:rsidRPr="00D875A4">
              <w:rPr>
                <w:lang w:val="en-US"/>
              </w:rPr>
              <w:t>0.319</w:t>
            </w:r>
            <w:r w:rsidR="0078682E" w:rsidRPr="00D875A4">
              <w:rPr>
                <w:lang w:val="en-US"/>
              </w:rPr>
              <w:br/>
              <w:t>***</w:t>
            </w:r>
            <w:r w:rsidRPr="00D875A4">
              <w:rPr>
                <w:lang w:val="en-US"/>
              </w:rPr>
              <w:t xml:space="preserve"> (0.058)</w:t>
            </w:r>
          </w:p>
        </w:tc>
      </w:tr>
      <w:tr w:rsidR="00573E8D" w:rsidRPr="00D875A4" w14:paraId="7B78D4C5" w14:textId="77777777" w:rsidTr="00573E8D">
        <w:tc>
          <w:tcPr>
            <w:tcW w:w="2063" w:type="dxa"/>
            <w:vAlign w:val="center"/>
            <w:hideMark/>
          </w:tcPr>
          <w:p w14:paraId="53D4F789" w14:textId="77777777" w:rsidR="00713CB3" w:rsidRPr="00D875A4" w:rsidRDefault="00713CB3" w:rsidP="00713CB3">
            <w:pPr>
              <w:jc w:val="left"/>
              <w:rPr>
                <w:lang w:val="en-US"/>
              </w:rPr>
            </w:pPr>
            <w:r w:rsidRPr="00D875A4">
              <w:rPr>
                <w:lang w:val="en-US"/>
              </w:rPr>
              <w:t>Size</w:t>
            </w:r>
          </w:p>
        </w:tc>
        <w:tc>
          <w:tcPr>
            <w:tcW w:w="911" w:type="dxa"/>
            <w:vAlign w:val="center"/>
            <w:hideMark/>
          </w:tcPr>
          <w:p w14:paraId="2C292C92" w14:textId="7FF50C19" w:rsidR="00713CB3" w:rsidRPr="00D875A4" w:rsidRDefault="00713CB3" w:rsidP="0078682E">
            <w:pPr>
              <w:jc w:val="right"/>
              <w:rPr>
                <w:lang w:val="en-US"/>
              </w:rPr>
            </w:pPr>
            <w:r w:rsidRPr="00D875A4">
              <w:rPr>
                <w:lang w:val="en-US"/>
              </w:rPr>
              <w:t>0.021</w:t>
            </w:r>
            <w:r w:rsidR="0078682E" w:rsidRPr="00D875A4">
              <w:rPr>
                <w:lang w:val="en-US"/>
              </w:rPr>
              <w:br/>
              <w:t>***</w:t>
            </w:r>
            <w:r w:rsidRPr="00D875A4">
              <w:rPr>
                <w:lang w:val="en-US"/>
              </w:rPr>
              <w:t xml:space="preserve"> (0.006)</w:t>
            </w:r>
          </w:p>
        </w:tc>
        <w:tc>
          <w:tcPr>
            <w:tcW w:w="911" w:type="dxa"/>
            <w:vAlign w:val="center"/>
            <w:hideMark/>
          </w:tcPr>
          <w:p w14:paraId="429FA2CC" w14:textId="42DD84DA" w:rsidR="00713CB3" w:rsidRPr="00D875A4" w:rsidRDefault="00713CB3" w:rsidP="0078682E">
            <w:pPr>
              <w:jc w:val="right"/>
              <w:rPr>
                <w:lang w:val="en-US"/>
              </w:rPr>
            </w:pPr>
            <w:r w:rsidRPr="00D875A4">
              <w:rPr>
                <w:lang w:val="en-US"/>
              </w:rPr>
              <w:t>0.019</w:t>
            </w:r>
            <w:r w:rsidR="0078682E" w:rsidRPr="00D875A4">
              <w:rPr>
                <w:lang w:val="en-US"/>
              </w:rPr>
              <w:br/>
              <w:t>***</w:t>
            </w:r>
            <w:r w:rsidRPr="00D875A4">
              <w:rPr>
                <w:lang w:val="en-US"/>
              </w:rPr>
              <w:t xml:space="preserve"> (0.005)</w:t>
            </w:r>
          </w:p>
        </w:tc>
        <w:tc>
          <w:tcPr>
            <w:tcW w:w="911" w:type="dxa"/>
            <w:vAlign w:val="center"/>
            <w:hideMark/>
          </w:tcPr>
          <w:p w14:paraId="01354A13" w14:textId="77777777" w:rsidR="00713CB3" w:rsidRPr="00D875A4" w:rsidRDefault="00713CB3" w:rsidP="0078682E">
            <w:pPr>
              <w:jc w:val="right"/>
              <w:rPr>
                <w:lang w:val="en-US"/>
              </w:rPr>
            </w:pPr>
            <w:r w:rsidRPr="00D875A4">
              <w:rPr>
                <w:lang w:val="en-US"/>
              </w:rPr>
              <w:t>0.015** (0.004)</w:t>
            </w:r>
          </w:p>
        </w:tc>
        <w:tc>
          <w:tcPr>
            <w:tcW w:w="911" w:type="dxa"/>
            <w:vAlign w:val="center"/>
            <w:hideMark/>
          </w:tcPr>
          <w:p w14:paraId="746765D5" w14:textId="41E72941" w:rsidR="00713CB3" w:rsidRPr="00D875A4" w:rsidRDefault="00713CB3" w:rsidP="0078682E">
            <w:pPr>
              <w:jc w:val="right"/>
              <w:rPr>
                <w:lang w:val="en-US"/>
              </w:rPr>
            </w:pPr>
            <w:r w:rsidRPr="00D875A4">
              <w:rPr>
                <w:lang w:val="en-US"/>
              </w:rPr>
              <w:t>0.017</w:t>
            </w:r>
            <w:r w:rsidR="0078682E" w:rsidRPr="00D875A4">
              <w:rPr>
                <w:lang w:val="en-US"/>
              </w:rPr>
              <w:br/>
              <w:t>***</w:t>
            </w:r>
            <w:r w:rsidRPr="00D875A4">
              <w:rPr>
                <w:lang w:val="en-US"/>
              </w:rPr>
              <w:t xml:space="preserve"> (0.005)</w:t>
            </w:r>
          </w:p>
        </w:tc>
        <w:tc>
          <w:tcPr>
            <w:tcW w:w="911" w:type="dxa"/>
            <w:vAlign w:val="center"/>
            <w:hideMark/>
          </w:tcPr>
          <w:p w14:paraId="3DBA9FA8" w14:textId="49E9122D" w:rsidR="00713CB3" w:rsidRPr="00D875A4" w:rsidRDefault="00713CB3" w:rsidP="0078682E">
            <w:pPr>
              <w:jc w:val="right"/>
              <w:rPr>
                <w:lang w:val="en-US"/>
              </w:rPr>
            </w:pPr>
            <w:r w:rsidRPr="00D875A4">
              <w:rPr>
                <w:lang w:val="en-US"/>
              </w:rPr>
              <w:t>0.032</w:t>
            </w:r>
            <w:r w:rsidR="0078682E" w:rsidRPr="00D875A4">
              <w:rPr>
                <w:lang w:val="en-US"/>
              </w:rPr>
              <w:br/>
              <w:t>***</w:t>
            </w:r>
            <w:r w:rsidRPr="00D875A4">
              <w:rPr>
                <w:lang w:val="en-US"/>
              </w:rPr>
              <w:t xml:space="preserve"> (0.009)</w:t>
            </w:r>
          </w:p>
        </w:tc>
        <w:tc>
          <w:tcPr>
            <w:tcW w:w="911" w:type="dxa"/>
            <w:vAlign w:val="center"/>
            <w:hideMark/>
          </w:tcPr>
          <w:p w14:paraId="3B8BB80A" w14:textId="636FCD12" w:rsidR="00713CB3" w:rsidRPr="00D875A4" w:rsidRDefault="00713CB3" w:rsidP="0078682E">
            <w:pPr>
              <w:jc w:val="right"/>
              <w:rPr>
                <w:lang w:val="en-US"/>
              </w:rPr>
            </w:pPr>
            <w:r w:rsidRPr="00D875A4">
              <w:rPr>
                <w:lang w:val="en-US"/>
              </w:rPr>
              <w:t>0.029</w:t>
            </w:r>
            <w:r w:rsidR="0078682E" w:rsidRPr="00D875A4">
              <w:rPr>
                <w:lang w:val="en-US"/>
              </w:rPr>
              <w:br/>
              <w:t>***</w:t>
            </w:r>
            <w:r w:rsidRPr="00D875A4">
              <w:rPr>
                <w:lang w:val="en-US"/>
              </w:rPr>
              <w:t xml:space="preserve"> (0.008)</w:t>
            </w:r>
          </w:p>
        </w:tc>
        <w:tc>
          <w:tcPr>
            <w:tcW w:w="911" w:type="dxa"/>
            <w:vAlign w:val="center"/>
            <w:hideMark/>
          </w:tcPr>
          <w:p w14:paraId="7A202076" w14:textId="52813FAE" w:rsidR="00713CB3" w:rsidRPr="00D875A4" w:rsidRDefault="00713CB3" w:rsidP="0078682E">
            <w:pPr>
              <w:jc w:val="right"/>
              <w:rPr>
                <w:lang w:val="en-US"/>
              </w:rPr>
            </w:pPr>
            <w:r w:rsidRPr="00D875A4">
              <w:rPr>
                <w:lang w:val="en-US"/>
              </w:rPr>
              <w:t>0.045</w:t>
            </w:r>
            <w:r w:rsidR="0078682E" w:rsidRPr="00D875A4">
              <w:rPr>
                <w:lang w:val="en-US"/>
              </w:rPr>
              <w:br/>
              <w:t>***</w:t>
            </w:r>
            <w:r w:rsidRPr="00D875A4">
              <w:rPr>
                <w:lang w:val="en-US"/>
              </w:rPr>
              <w:t xml:space="preserve"> (0.012)</w:t>
            </w:r>
          </w:p>
        </w:tc>
        <w:tc>
          <w:tcPr>
            <w:tcW w:w="911" w:type="dxa"/>
            <w:vAlign w:val="center"/>
            <w:hideMark/>
          </w:tcPr>
          <w:p w14:paraId="3D8A3DFC" w14:textId="74CE43D6" w:rsidR="00713CB3" w:rsidRPr="00D875A4" w:rsidRDefault="00713CB3" w:rsidP="0078682E">
            <w:pPr>
              <w:jc w:val="right"/>
              <w:rPr>
                <w:lang w:val="en-US"/>
              </w:rPr>
            </w:pPr>
            <w:r w:rsidRPr="00D875A4">
              <w:rPr>
                <w:lang w:val="en-US"/>
              </w:rPr>
              <w:t>0.042</w:t>
            </w:r>
            <w:r w:rsidR="0078682E" w:rsidRPr="00D875A4">
              <w:rPr>
                <w:lang w:val="en-US"/>
              </w:rPr>
              <w:br/>
              <w:t>***</w:t>
            </w:r>
            <w:r w:rsidRPr="00D875A4">
              <w:rPr>
                <w:lang w:val="en-US"/>
              </w:rPr>
              <w:t xml:space="preserve"> (0.011)</w:t>
            </w:r>
          </w:p>
        </w:tc>
      </w:tr>
      <w:tr w:rsidR="00573E8D" w:rsidRPr="00D875A4" w14:paraId="4C812F37" w14:textId="77777777" w:rsidTr="00573E8D">
        <w:tc>
          <w:tcPr>
            <w:tcW w:w="2063" w:type="dxa"/>
            <w:vAlign w:val="center"/>
            <w:hideMark/>
          </w:tcPr>
          <w:p w14:paraId="65877CCE" w14:textId="77777777" w:rsidR="00713CB3" w:rsidRPr="00D875A4" w:rsidRDefault="00713CB3" w:rsidP="00713CB3">
            <w:pPr>
              <w:jc w:val="left"/>
              <w:rPr>
                <w:lang w:val="en-US"/>
              </w:rPr>
            </w:pPr>
            <w:r w:rsidRPr="00D875A4">
              <w:rPr>
                <w:lang w:val="en-US"/>
              </w:rPr>
              <w:t>Growth</w:t>
            </w:r>
          </w:p>
        </w:tc>
        <w:tc>
          <w:tcPr>
            <w:tcW w:w="911" w:type="dxa"/>
            <w:vAlign w:val="center"/>
            <w:hideMark/>
          </w:tcPr>
          <w:p w14:paraId="19CBD2C4" w14:textId="26DE8DE3" w:rsidR="00713CB3" w:rsidRPr="00D875A4" w:rsidRDefault="00713CB3" w:rsidP="0078682E">
            <w:pPr>
              <w:jc w:val="right"/>
              <w:rPr>
                <w:lang w:val="en-US"/>
              </w:rPr>
            </w:pPr>
            <w:r w:rsidRPr="00D875A4">
              <w:rPr>
                <w:lang w:val="en-US"/>
              </w:rPr>
              <w:t>0.045</w:t>
            </w:r>
            <w:r w:rsidR="0078682E" w:rsidRPr="00D875A4">
              <w:rPr>
                <w:lang w:val="en-US"/>
              </w:rPr>
              <w:br/>
              <w:t>***</w:t>
            </w:r>
            <w:r w:rsidRPr="00D875A4">
              <w:rPr>
                <w:lang w:val="en-US"/>
              </w:rPr>
              <w:t xml:space="preserve"> (0.012)</w:t>
            </w:r>
          </w:p>
        </w:tc>
        <w:tc>
          <w:tcPr>
            <w:tcW w:w="911" w:type="dxa"/>
            <w:vAlign w:val="center"/>
            <w:hideMark/>
          </w:tcPr>
          <w:p w14:paraId="3B615A35" w14:textId="7087FAF4" w:rsidR="00713CB3" w:rsidRPr="00D875A4" w:rsidRDefault="00713CB3" w:rsidP="0078682E">
            <w:pPr>
              <w:jc w:val="right"/>
              <w:rPr>
                <w:lang w:val="en-US"/>
              </w:rPr>
            </w:pPr>
            <w:r w:rsidRPr="00D875A4">
              <w:rPr>
                <w:lang w:val="en-US"/>
              </w:rPr>
              <w:t>0.042</w:t>
            </w:r>
            <w:r w:rsidR="0078682E" w:rsidRPr="00D875A4">
              <w:rPr>
                <w:lang w:val="en-US"/>
              </w:rPr>
              <w:br/>
              <w:t>***</w:t>
            </w:r>
            <w:r w:rsidRPr="00D875A4">
              <w:rPr>
                <w:lang w:val="en-US"/>
              </w:rPr>
              <w:t xml:space="preserve"> (0.011)</w:t>
            </w:r>
          </w:p>
        </w:tc>
        <w:tc>
          <w:tcPr>
            <w:tcW w:w="911" w:type="dxa"/>
            <w:vAlign w:val="center"/>
            <w:hideMark/>
          </w:tcPr>
          <w:p w14:paraId="20CE7527" w14:textId="77777777" w:rsidR="00713CB3" w:rsidRPr="00D875A4" w:rsidRDefault="00713CB3" w:rsidP="0078682E">
            <w:pPr>
              <w:jc w:val="right"/>
              <w:rPr>
                <w:lang w:val="en-US"/>
              </w:rPr>
            </w:pPr>
            <w:r w:rsidRPr="00D875A4">
              <w:rPr>
                <w:lang w:val="en-US"/>
              </w:rPr>
              <w:t>0.035** (0.009)</w:t>
            </w:r>
          </w:p>
        </w:tc>
        <w:tc>
          <w:tcPr>
            <w:tcW w:w="911" w:type="dxa"/>
            <w:vAlign w:val="center"/>
            <w:hideMark/>
          </w:tcPr>
          <w:p w14:paraId="2B71211A" w14:textId="18B08F27" w:rsidR="00713CB3" w:rsidRPr="00D875A4" w:rsidRDefault="00713CB3" w:rsidP="0078682E">
            <w:pPr>
              <w:jc w:val="right"/>
              <w:rPr>
                <w:lang w:val="en-US"/>
              </w:rPr>
            </w:pPr>
            <w:r w:rsidRPr="00D875A4">
              <w:rPr>
                <w:lang w:val="en-US"/>
              </w:rPr>
              <w:t>0.038</w:t>
            </w:r>
            <w:r w:rsidR="0078682E" w:rsidRPr="00D875A4">
              <w:rPr>
                <w:lang w:val="en-US"/>
              </w:rPr>
              <w:br/>
              <w:t>***</w:t>
            </w:r>
            <w:r w:rsidRPr="00D875A4">
              <w:rPr>
                <w:lang w:val="en-US"/>
              </w:rPr>
              <w:t xml:space="preserve"> (0.010)</w:t>
            </w:r>
          </w:p>
        </w:tc>
        <w:tc>
          <w:tcPr>
            <w:tcW w:w="911" w:type="dxa"/>
            <w:vAlign w:val="center"/>
            <w:hideMark/>
          </w:tcPr>
          <w:p w14:paraId="2E0FA44F" w14:textId="1E8673D0" w:rsidR="00713CB3" w:rsidRPr="00D875A4" w:rsidRDefault="00713CB3" w:rsidP="0078682E">
            <w:pPr>
              <w:jc w:val="right"/>
              <w:rPr>
                <w:lang w:val="en-US"/>
              </w:rPr>
            </w:pPr>
            <w:r w:rsidRPr="00D875A4">
              <w:rPr>
                <w:lang w:val="en-US"/>
              </w:rPr>
              <w:t>0.067</w:t>
            </w:r>
            <w:r w:rsidR="0078682E" w:rsidRPr="00D875A4">
              <w:rPr>
                <w:lang w:val="en-US"/>
              </w:rPr>
              <w:br/>
              <w:t>***</w:t>
            </w:r>
            <w:r w:rsidRPr="00D875A4">
              <w:rPr>
                <w:lang w:val="en-US"/>
              </w:rPr>
              <w:t xml:space="preserve"> (0.018)</w:t>
            </w:r>
          </w:p>
        </w:tc>
        <w:tc>
          <w:tcPr>
            <w:tcW w:w="911" w:type="dxa"/>
            <w:vAlign w:val="center"/>
            <w:hideMark/>
          </w:tcPr>
          <w:p w14:paraId="291F3794" w14:textId="093E4961" w:rsidR="00713CB3" w:rsidRPr="00D875A4" w:rsidRDefault="00713CB3" w:rsidP="0078682E">
            <w:pPr>
              <w:jc w:val="right"/>
              <w:rPr>
                <w:lang w:val="en-US"/>
              </w:rPr>
            </w:pPr>
            <w:r w:rsidRPr="00D875A4">
              <w:rPr>
                <w:lang w:val="en-US"/>
              </w:rPr>
              <w:t>0.063</w:t>
            </w:r>
            <w:r w:rsidR="0078682E" w:rsidRPr="00D875A4">
              <w:rPr>
                <w:lang w:val="en-US"/>
              </w:rPr>
              <w:br/>
              <w:t>***</w:t>
            </w:r>
            <w:r w:rsidRPr="00D875A4">
              <w:rPr>
                <w:lang w:val="en-US"/>
              </w:rPr>
              <w:t xml:space="preserve"> (0.017)</w:t>
            </w:r>
          </w:p>
        </w:tc>
        <w:tc>
          <w:tcPr>
            <w:tcW w:w="911" w:type="dxa"/>
            <w:vAlign w:val="center"/>
            <w:hideMark/>
          </w:tcPr>
          <w:p w14:paraId="2DA3EA2E" w14:textId="34DDEE5A" w:rsidR="00713CB3" w:rsidRPr="00D875A4" w:rsidRDefault="00713CB3" w:rsidP="0078682E">
            <w:pPr>
              <w:jc w:val="right"/>
              <w:rPr>
                <w:lang w:val="en-US"/>
              </w:rPr>
            </w:pPr>
            <w:r w:rsidRPr="00D875A4">
              <w:rPr>
                <w:lang w:val="en-US"/>
              </w:rPr>
              <w:t>0.089</w:t>
            </w:r>
            <w:r w:rsidR="0078682E" w:rsidRPr="00D875A4">
              <w:rPr>
                <w:lang w:val="en-US"/>
              </w:rPr>
              <w:br/>
              <w:t>***</w:t>
            </w:r>
            <w:r w:rsidRPr="00D875A4">
              <w:rPr>
                <w:lang w:val="en-US"/>
              </w:rPr>
              <w:t xml:space="preserve"> (0.024)</w:t>
            </w:r>
          </w:p>
        </w:tc>
        <w:tc>
          <w:tcPr>
            <w:tcW w:w="911" w:type="dxa"/>
            <w:vAlign w:val="center"/>
            <w:hideMark/>
          </w:tcPr>
          <w:p w14:paraId="045BB025" w14:textId="45B50040" w:rsidR="00713CB3" w:rsidRPr="00D875A4" w:rsidRDefault="00713CB3" w:rsidP="0078682E">
            <w:pPr>
              <w:jc w:val="right"/>
              <w:rPr>
                <w:lang w:val="en-US"/>
              </w:rPr>
            </w:pPr>
            <w:r w:rsidRPr="00D875A4">
              <w:rPr>
                <w:lang w:val="en-US"/>
              </w:rPr>
              <w:t>0.085</w:t>
            </w:r>
            <w:r w:rsidR="0078682E" w:rsidRPr="00D875A4">
              <w:rPr>
                <w:lang w:val="en-US"/>
              </w:rPr>
              <w:br/>
              <w:t>***</w:t>
            </w:r>
            <w:r w:rsidRPr="00D875A4">
              <w:rPr>
                <w:lang w:val="en-US"/>
              </w:rPr>
              <w:t xml:space="preserve"> (0.023)</w:t>
            </w:r>
          </w:p>
        </w:tc>
      </w:tr>
      <w:tr w:rsidR="00573E8D" w:rsidRPr="00D875A4" w14:paraId="1AE44128" w14:textId="77777777" w:rsidTr="00573E8D">
        <w:tc>
          <w:tcPr>
            <w:tcW w:w="2063" w:type="dxa"/>
            <w:vAlign w:val="center"/>
            <w:hideMark/>
          </w:tcPr>
          <w:p w14:paraId="12FD3E87" w14:textId="77777777" w:rsidR="00713CB3" w:rsidRPr="00D875A4" w:rsidRDefault="00713CB3" w:rsidP="00713CB3">
            <w:pPr>
              <w:jc w:val="left"/>
              <w:rPr>
                <w:lang w:val="en-US"/>
              </w:rPr>
            </w:pPr>
            <w:r w:rsidRPr="00D875A4">
              <w:rPr>
                <w:lang w:val="en-US"/>
              </w:rPr>
              <w:t>Tangibility</w:t>
            </w:r>
          </w:p>
        </w:tc>
        <w:tc>
          <w:tcPr>
            <w:tcW w:w="911" w:type="dxa"/>
            <w:vAlign w:val="center"/>
            <w:hideMark/>
          </w:tcPr>
          <w:p w14:paraId="185489F3" w14:textId="77777777" w:rsidR="00713CB3" w:rsidRPr="00D875A4" w:rsidRDefault="00713CB3" w:rsidP="0078682E">
            <w:pPr>
              <w:jc w:val="right"/>
              <w:rPr>
                <w:lang w:val="en-US"/>
              </w:rPr>
            </w:pPr>
            <w:r w:rsidRPr="00D875A4">
              <w:rPr>
                <w:lang w:val="en-US"/>
              </w:rPr>
              <w:t>0.056** (0.023)</w:t>
            </w:r>
          </w:p>
        </w:tc>
        <w:tc>
          <w:tcPr>
            <w:tcW w:w="911" w:type="dxa"/>
            <w:vAlign w:val="center"/>
            <w:hideMark/>
          </w:tcPr>
          <w:p w14:paraId="7E3CFEFF" w14:textId="77777777" w:rsidR="00713CB3" w:rsidRPr="00D875A4" w:rsidRDefault="00713CB3" w:rsidP="0078682E">
            <w:pPr>
              <w:jc w:val="right"/>
              <w:rPr>
                <w:lang w:val="en-US"/>
              </w:rPr>
            </w:pPr>
            <w:r w:rsidRPr="00D875A4">
              <w:rPr>
                <w:lang w:val="en-US"/>
              </w:rPr>
              <w:t>0.052** (0.021)</w:t>
            </w:r>
          </w:p>
        </w:tc>
        <w:tc>
          <w:tcPr>
            <w:tcW w:w="911" w:type="dxa"/>
            <w:vAlign w:val="center"/>
            <w:hideMark/>
          </w:tcPr>
          <w:p w14:paraId="050F8708" w14:textId="77777777" w:rsidR="00713CB3" w:rsidRPr="00D875A4" w:rsidRDefault="00713CB3" w:rsidP="0078682E">
            <w:pPr>
              <w:jc w:val="right"/>
              <w:rPr>
                <w:lang w:val="en-US"/>
              </w:rPr>
            </w:pPr>
            <w:r w:rsidRPr="00D875A4">
              <w:rPr>
                <w:lang w:val="en-US"/>
              </w:rPr>
              <w:t>0.041* (0.018)</w:t>
            </w:r>
          </w:p>
        </w:tc>
        <w:tc>
          <w:tcPr>
            <w:tcW w:w="911" w:type="dxa"/>
            <w:vAlign w:val="center"/>
            <w:hideMark/>
          </w:tcPr>
          <w:p w14:paraId="3FBC0444" w14:textId="77777777" w:rsidR="00713CB3" w:rsidRPr="00D875A4" w:rsidRDefault="00713CB3" w:rsidP="0078682E">
            <w:pPr>
              <w:jc w:val="right"/>
              <w:rPr>
                <w:lang w:val="en-US"/>
              </w:rPr>
            </w:pPr>
            <w:r w:rsidRPr="00D875A4">
              <w:rPr>
                <w:lang w:val="en-US"/>
              </w:rPr>
              <w:t>0.045** (0.020)</w:t>
            </w:r>
          </w:p>
        </w:tc>
        <w:tc>
          <w:tcPr>
            <w:tcW w:w="911" w:type="dxa"/>
            <w:vAlign w:val="center"/>
            <w:hideMark/>
          </w:tcPr>
          <w:p w14:paraId="2AFC6DAF" w14:textId="77777777" w:rsidR="00713CB3" w:rsidRPr="00D875A4" w:rsidRDefault="00713CB3" w:rsidP="0078682E">
            <w:pPr>
              <w:jc w:val="right"/>
              <w:rPr>
                <w:lang w:val="en-US"/>
              </w:rPr>
            </w:pPr>
            <w:r w:rsidRPr="00D875A4">
              <w:rPr>
                <w:lang w:val="en-US"/>
              </w:rPr>
              <w:t>0.078** (0.032)</w:t>
            </w:r>
          </w:p>
        </w:tc>
        <w:tc>
          <w:tcPr>
            <w:tcW w:w="911" w:type="dxa"/>
            <w:vAlign w:val="center"/>
            <w:hideMark/>
          </w:tcPr>
          <w:p w14:paraId="3108A944" w14:textId="77777777" w:rsidR="00713CB3" w:rsidRPr="00D875A4" w:rsidRDefault="00713CB3" w:rsidP="0078682E">
            <w:pPr>
              <w:jc w:val="right"/>
              <w:rPr>
                <w:lang w:val="en-US"/>
              </w:rPr>
            </w:pPr>
            <w:r w:rsidRPr="00D875A4">
              <w:rPr>
                <w:lang w:val="en-US"/>
              </w:rPr>
              <w:t>0.073** (0.030)</w:t>
            </w:r>
          </w:p>
        </w:tc>
        <w:tc>
          <w:tcPr>
            <w:tcW w:w="911" w:type="dxa"/>
            <w:vAlign w:val="center"/>
            <w:hideMark/>
          </w:tcPr>
          <w:p w14:paraId="3452759D" w14:textId="77777777" w:rsidR="00713CB3" w:rsidRPr="00D875A4" w:rsidRDefault="00713CB3" w:rsidP="0078682E">
            <w:pPr>
              <w:jc w:val="right"/>
              <w:rPr>
                <w:lang w:val="en-US"/>
              </w:rPr>
            </w:pPr>
            <w:r w:rsidRPr="00D875A4">
              <w:rPr>
                <w:lang w:val="en-US"/>
              </w:rPr>
              <w:t>0.112** (0.045)</w:t>
            </w:r>
          </w:p>
        </w:tc>
        <w:tc>
          <w:tcPr>
            <w:tcW w:w="911" w:type="dxa"/>
            <w:vAlign w:val="center"/>
            <w:hideMark/>
          </w:tcPr>
          <w:p w14:paraId="5A76CEB1" w14:textId="77777777" w:rsidR="00713CB3" w:rsidRPr="00D875A4" w:rsidRDefault="00713CB3" w:rsidP="0078682E">
            <w:pPr>
              <w:jc w:val="right"/>
              <w:rPr>
                <w:lang w:val="en-US"/>
              </w:rPr>
            </w:pPr>
            <w:r w:rsidRPr="00D875A4">
              <w:rPr>
                <w:lang w:val="en-US"/>
              </w:rPr>
              <w:t>0.106** (0.043)</w:t>
            </w:r>
          </w:p>
        </w:tc>
      </w:tr>
      <w:tr w:rsidR="00573E8D" w:rsidRPr="00D875A4" w14:paraId="6E217ED1" w14:textId="77777777" w:rsidTr="00573E8D">
        <w:tc>
          <w:tcPr>
            <w:tcW w:w="2063" w:type="dxa"/>
            <w:vAlign w:val="center"/>
            <w:hideMark/>
          </w:tcPr>
          <w:p w14:paraId="41A461BD" w14:textId="77777777" w:rsidR="00713CB3" w:rsidRPr="00D875A4" w:rsidRDefault="00713CB3" w:rsidP="00713CB3">
            <w:pPr>
              <w:jc w:val="left"/>
              <w:rPr>
                <w:lang w:val="en-US"/>
              </w:rPr>
            </w:pPr>
            <w:r w:rsidRPr="00D875A4">
              <w:rPr>
                <w:lang w:val="en-US"/>
              </w:rPr>
              <w:t>Liquidity</w:t>
            </w:r>
          </w:p>
        </w:tc>
        <w:tc>
          <w:tcPr>
            <w:tcW w:w="911" w:type="dxa"/>
            <w:vAlign w:val="center"/>
            <w:hideMark/>
          </w:tcPr>
          <w:p w14:paraId="5A467111" w14:textId="207C8F2A" w:rsidR="00713CB3" w:rsidRPr="00D875A4" w:rsidRDefault="00713CB3" w:rsidP="0078682E">
            <w:pPr>
              <w:jc w:val="right"/>
              <w:rPr>
                <w:lang w:val="en-US"/>
              </w:rPr>
            </w:pPr>
            <w:r w:rsidRPr="00D875A4">
              <w:rPr>
                <w:lang w:val="en-US"/>
              </w:rPr>
              <w:t>0.025</w:t>
            </w:r>
            <w:r w:rsidR="0078682E" w:rsidRPr="00D875A4">
              <w:rPr>
                <w:lang w:val="en-US"/>
              </w:rPr>
              <w:br/>
              <w:t>***</w:t>
            </w:r>
            <w:r w:rsidRPr="00D875A4">
              <w:rPr>
                <w:lang w:val="en-US"/>
              </w:rPr>
              <w:t xml:space="preserve"> (0.007)</w:t>
            </w:r>
          </w:p>
        </w:tc>
        <w:tc>
          <w:tcPr>
            <w:tcW w:w="911" w:type="dxa"/>
            <w:vAlign w:val="center"/>
            <w:hideMark/>
          </w:tcPr>
          <w:p w14:paraId="5B6C781C" w14:textId="6B3C69CD" w:rsidR="00713CB3" w:rsidRPr="00D875A4" w:rsidRDefault="00713CB3" w:rsidP="0078682E">
            <w:pPr>
              <w:jc w:val="right"/>
              <w:rPr>
                <w:lang w:val="en-US"/>
              </w:rPr>
            </w:pPr>
            <w:r w:rsidRPr="00D875A4">
              <w:rPr>
                <w:lang w:val="en-US"/>
              </w:rPr>
              <w:t>0.023</w:t>
            </w:r>
            <w:r w:rsidR="0078682E" w:rsidRPr="00D875A4">
              <w:rPr>
                <w:lang w:val="en-US"/>
              </w:rPr>
              <w:br/>
              <w:t>***</w:t>
            </w:r>
            <w:r w:rsidRPr="00D875A4">
              <w:rPr>
                <w:lang w:val="en-US"/>
              </w:rPr>
              <w:t xml:space="preserve"> (0.006)</w:t>
            </w:r>
          </w:p>
        </w:tc>
        <w:tc>
          <w:tcPr>
            <w:tcW w:w="911" w:type="dxa"/>
            <w:vAlign w:val="center"/>
            <w:hideMark/>
          </w:tcPr>
          <w:p w14:paraId="6B48A954" w14:textId="77777777" w:rsidR="00713CB3" w:rsidRPr="00D875A4" w:rsidRDefault="00713CB3" w:rsidP="0078682E">
            <w:pPr>
              <w:jc w:val="right"/>
              <w:rPr>
                <w:lang w:val="en-US"/>
              </w:rPr>
            </w:pPr>
            <w:r w:rsidRPr="00D875A4">
              <w:rPr>
                <w:lang w:val="en-US"/>
              </w:rPr>
              <w:t>0.018** (0.005)</w:t>
            </w:r>
          </w:p>
        </w:tc>
        <w:tc>
          <w:tcPr>
            <w:tcW w:w="911" w:type="dxa"/>
            <w:vAlign w:val="center"/>
            <w:hideMark/>
          </w:tcPr>
          <w:p w14:paraId="5D94EF94" w14:textId="1A6BA640" w:rsidR="00713CB3" w:rsidRPr="00D875A4" w:rsidRDefault="00713CB3" w:rsidP="0078682E">
            <w:pPr>
              <w:jc w:val="right"/>
              <w:rPr>
                <w:lang w:val="en-US"/>
              </w:rPr>
            </w:pPr>
            <w:r w:rsidRPr="00D875A4">
              <w:rPr>
                <w:lang w:val="en-US"/>
              </w:rPr>
              <w:t>0.020</w:t>
            </w:r>
            <w:r w:rsidR="0078682E" w:rsidRPr="00D875A4">
              <w:rPr>
                <w:lang w:val="en-US"/>
              </w:rPr>
              <w:br/>
              <w:t>***</w:t>
            </w:r>
            <w:r w:rsidRPr="00D875A4">
              <w:rPr>
                <w:lang w:val="en-US"/>
              </w:rPr>
              <w:t xml:space="preserve"> (0.006)</w:t>
            </w:r>
          </w:p>
        </w:tc>
        <w:tc>
          <w:tcPr>
            <w:tcW w:w="911" w:type="dxa"/>
            <w:vAlign w:val="center"/>
            <w:hideMark/>
          </w:tcPr>
          <w:p w14:paraId="35B7E88B" w14:textId="544AFDFD" w:rsidR="00713CB3" w:rsidRPr="00D875A4" w:rsidRDefault="00713CB3" w:rsidP="0078682E">
            <w:pPr>
              <w:jc w:val="right"/>
              <w:rPr>
                <w:lang w:val="en-US"/>
              </w:rPr>
            </w:pPr>
            <w:r w:rsidRPr="00D875A4">
              <w:rPr>
                <w:lang w:val="en-US"/>
              </w:rPr>
              <w:t>0.038</w:t>
            </w:r>
            <w:r w:rsidR="0078682E" w:rsidRPr="00D875A4">
              <w:rPr>
                <w:lang w:val="en-US"/>
              </w:rPr>
              <w:br/>
              <w:t>***</w:t>
            </w:r>
            <w:r w:rsidRPr="00D875A4">
              <w:rPr>
                <w:lang w:val="en-US"/>
              </w:rPr>
              <w:t xml:space="preserve"> (0.011)</w:t>
            </w:r>
          </w:p>
        </w:tc>
        <w:tc>
          <w:tcPr>
            <w:tcW w:w="911" w:type="dxa"/>
            <w:vAlign w:val="center"/>
            <w:hideMark/>
          </w:tcPr>
          <w:p w14:paraId="6B60E5EC" w14:textId="57E7C8DF" w:rsidR="00713CB3" w:rsidRPr="00D875A4" w:rsidRDefault="00713CB3" w:rsidP="0078682E">
            <w:pPr>
              <w:jc w:val="right"/>
              <w:rPr>
                <w:lang w:val="en-US"/>
              </w:rPr>
            </w:pPr>
            <w:r w:rsidRPr="00D875A4">
              <w:rPr>
                <w:lang w:val="en-US"/>
              </w:rPr>
              <w:t>0.035</w:t>
            </w:r>
            <w:r w:rsidR="0078682E" w:rsidRPr="00D875A4">
              <w:rPr>
                <w:lang w:val="en-US"/>
              </w:rPr>
              <w:br/>
              <w:t>***</w:t>
            </w:r>
            <w:r w:rsidRPr="00D875A4">
              <w:rPr>
                <w:lang w:val="en-US"/>
              </w:rPr>
              <w:t xml:space="preserve"> (0.010)</w:t>
            </w:r>
          </w:p>
        </w:tc>
        <w:tc>
          <w:tcPr>
            <w:tcW w:w="911" w:type="dxa"/>
            <w:vAlign w:val="center"/>
            <w:hideMark/>
          </w:tcPr>
          <w:p w14:paraId="7F618F3C" w14:textId="386FAE10" w:rsidR="00713CB3" w:rsidRPr="00D875A4" w:rsidRDefault="00713CB3" w:rsidP="0078682E">
            <w:pPr>
              <w:jc w:val="right"/>
              <w:rPr>
                <w:lang w:val="en-US"/>
              </w:rPr>
            </w:pPr>
            <w:r w:rsidRPr="00D875A4">
              <w:rPr>
                <w:lang w:val="en-US"/>
              </w:rPr>
              <w:t>0.056</w:t>
            </w:r>
            <w:r w:rsidR="0078682E" w:rsidRPr="00D875A4">
              <w:rPr>
                <w:lang w:val="en-US"/>
              </w:rPr>
              <w:br/>
              <w:t>***</w:t>
            </w:r>
            <w:r w:rsidRPr="00D875A4">
              <w:rPr>
                <w:lang w:val="en-US"/>
              </w:rPr>
              <w:t xml:space="preserve"> (0.015)</w:t>
            </w:r>
          </w:p>
        </w:tc>
        <w:tc>
          <w:tcPr>
            <w:tcW w:w="911" w:type="dxa"/>
            <w:vAlign w:val="center"/>
            <w:hideMark/>
          </w:tcPr>
          <w:p w14:paraId="5CC0DE6A" w14:textId="44EDBED8" w:rsidR="00713CB3" w:rsidRPr="00D875A4" w:rsidRDefault="00713CB3" w:rsidP="0078682E">
            <w:pPr>
              <w:jc w:val="right"/>
              <w:rPr>
                <w:lang w:val="en-US"/>
              </w:rPr>
            </w:pPr>
            <w:r w:rsidRPr="00D875A4">
              <w:rPr>
                <w:lang w:val="en-US"/>
              </w:rPr>
              <w:t>0.053</w:t>
            </w:r>
            <w:r w:rsidR="0078682E" w:rsidRPr="00D875A4">
              <w:rPr>
                <w:lang w:val="en-US"/>
              </w:rPr>
              <w:br/>
              <w:t>***</w:t>
            </w:r>
            <w:r w:rsidRPr="00D875A4">
              <w:rPr>
                <w:lang w:val="en-US"/>
              </w:rPr>
              <w:t xml:space="preserve"> (0.014)</w:t>
            </w:r>
          </w:p>
        </w:tc>
      </w:tr>
      <w:tr w:rsidR="00573E8D" w:rsidRPr="00D875A4" w14:paraId="1D790646" w14:textId="77777777" w:rsidTr="00573E8D">
        <w:tc>
          <w:tcPr>
            <w:tcW w:w="2063" w:type="dxa"/>
            <w:vAlign w:val="center"/>
            <w:hideMark/>
          </w:tcPr>
          <w:p w14:paraId="160B10DD" w14:textId="77777777" w:rsidR="00713CB3" w:rsidRPr="00D875A4" w:rsidRDefault="00713CB3" w:rsidP="00713CB3">
            <w:pPr>
              <w:jc w:val="left"/>
              <w:rPr>
                <w:lang w:val="en-US"/>
              </w:rPr>
            </w:pPr>
            <w:r w:rsidRPr="00D875A4">
              <w:rPr>
                <w:lang w:val="en-US"/>
              </w:rPr>
              <w:t>Age</w:t>
            </w:r>
          </w:p>
        </w:tc>
        <w:tc>
          <w:tcPr>
            <w:tcW w:w="911" w:type="dxa"/>
            <w:vAlign w:val="center"/>
            <w:hideMark/>
          </w:tcPr>
          <w:p w14:paraId="4192A85B" w14:textId="76D9ABAE" w:rsidR="00713CB3" w:rsidRPr="00D875A4" w:rsidRDefault="00713CB3" w:rsidP="0078682E">
            <w:pPr>
              <w:jc w:val="right"/>
              <w:rPr>
                <w:lang w:val="en-US"/>
              </w:rPr>
            </w:pPr>
            <w:r w:rsidRPr="00D875A4">
              <w:rPr>
                <w:lang w:val="en-US"/>
              </w:rPr>
              <w:t>-0.034</w:t>
            </w:r>
            <w:r w:rsidR="00573E8D" w:rsidRPr="00D875A4">
              <w:rPr>
                <w:lang w:val="en-US"/>
              </w:rPr>
              <w:br/>
            </w:r>
            <w:r w:rsidRPr="00D875A4">
              <w:rPr>
                <w:lang w:val="en-US"/>
              </w:rPr>
              <w:t>** (0.014)</w:t>
            </w:r>
          </w:p>
        </w:tc>
        <w:tc>
          <w:tcPr>
            <w:tcW w:w="911" w:type="dxa"/>
            <w:vAlign w:val="center"/>
            <w:hideMark/>
          </w:tcPr>
          <w:p w14:paraId="32517C22" w14:textId="179C2321" w:rsidR="00713CB3" w:rsidRPr="00D875A4" w:rsidRDefault="00713CB3" w:rsidP="0078682E">
            <w:pPr>
              <w:jc w:val="right"/>
              <w:rPr>
                <w:lang w:val="en-US"/>
              </w:rPr>
            </w:pPr>
            <w:r w:rsidRPr="00D875A4">
              <w:rPr>
                <w:lang w:val="en-US"/>
              </w:rPr>
              <w:t>-0.031</w:t>
            </w:r>
            <w:r w:rsidR="00573E8D" w:rsidRPr="00D875A4">
              <w:rPr>
                <w:lang w:val="en-US"/>
              </w:rPr>
              <w:br/>
            </w:r>
            <w:r w:rsidRPr="00D875A4">
              <w:rPr>
                <w:lang w:val="en-US"/>
              </w:rPr>
              <w:t>** (0.013)</w:t>
            </w:r>
          </w:p>
        </w:tc>
        <w:tc>
          <w:tcPr>
            <w:tcW w:w="911" w:type="dxa"/>
            <w:vAlign w:val="center"/>
            <w:hideMark/>
          </w:tcPr>
          <w:p w14:paraId="7B13EC5B" w14:textId="5BFC78A3" w:rsidR="00713CB3" w:rsidRPr="00D875A4" w:rsidRDefault="00713CB3" w:rsidP="0078682E">
            <w:pPr>
              <w:jc w:val="right"/>
              <w:rPr>
                <w:lang w:val="en-US"/>
              </w:rPr>
            </w:pPr>
            <w:r w:rsidRPr="00D875A4">
              <w:rPr>
                <w:lang w:val="en-US"/>
              </w:rPr>
              <w:t>-0.025</w:t>
            </w:r>
            <w:r w:rsidR="00573E8D" w:rsidRPr="00D875A4">
              <w:rPr>
                <w:lang w:val="en-US"/>
              </w:rPr>
              <w:br/>
            </w:r>
            <w:r w:rsidRPr="00D875A4">
              <w:rPr>
                <w:lang w:val="en-US"/>
              </w:rPr>
              <w:t>* (0.011)</w:t>
            </w:r>
          </w:p>
        </w:tc>
        <w:tc>
          <w:tcPr>
            <w:tcW w:w="911" w:type="dxa"/>
            <w:vAlign w:val="center"/>
            <w:hideMark/>
          </w:tcPr>
          <w:p w14:paraId="465F4E41" w14:textId="7FACE246" w:rsidR="00713CB3" w:rsidRPr="00D875A4" w:rsidRDefault="00713CB3" w:rsidP="0078682E">
            <w:pPr>
              <w:jc w:val="right"/>
              <w:rPr>
                <w:lang w:val="en-US"/>
              </w:rPr>
            </w:pPr>
            <w:r w:rsidRPr="00D875A4">
              <w:rPr>
                <w:lang w:val="en-US"/>
              </w:rPr>
              <w:t>-0.028</w:t>
            </w:r>
            <w:r w:rsidR="00573E8D" w:rsidRPr="00D875A4">
              <w:rPr>
                <w:lang w:val="en-US"/>
              </w:rPr>
              <w:br/>
            </w:r>
            <w:r w:rsidRPr="00D875A4">
              <w:rPr>
                <w:lang w:val="en-US"/>
              </w:rPr>
              <w:t>** (0.012)</w:t>
            </w:r>
          </w:p>
        </w:tc>
        <w:tc>
          <w:tcPr>
            <w:tcW w:w="911" w:type="dxa"/>
            <w:vAlign w:val="center"/>
            <w:hideMark/>
          </w:tcPr>
          <w:p w14:paraId="5149DC5E" w14:textId="26718833" w:rsidR="00713CB3" w:rsidRPr="00D875A4" w:rsidRDefault="00713CB3" w:rsidP="0078682E">
            <w:pPr>
              <w:jc w:val="right"/>
              <w:rPr>
                <w:lang w:val="en-US"/>
              </w:rPr>
            </w:pPr>
            <w:r w:rsidRPr="00D875A4">
              <w:rPr>
                <w:lang w:val="en-US"/>
              </w:rPr>
              <w:t>-0.051</w:t>
            </w:r>
            <w:r w:rsidR="00573E8D" w:rsidRPr="00D875A4">
              <w:rPr>
                <w:lang w:val="en-US"/>
              </w:rPr>
              <w:br/>
            </w:r>
            <w:r w:rsidRPr="00D875A4">
              <w:rPr>
                <w:lang w:val="en-US"/>
              </w:rPr>
              <w:t>** (0.021)</w:t>
            </w:r>
          </w:p>
        </w:tc>
        <w:tc>
          <w:tcPr>
            <w:tcW w:w="911" w:type="dxa"/>
            <w:vAlign w:val="center"/>
            <w:hideMark/>
          </w:tcPr>
          <w:p w14:paraId="1997EA4D" w14:textId="6C82CE3D" w:rsidR="00713CB3" w:rsidRPr="00D875A4" w:rsidRDefault="00713CB3" w:rsidP="0078682E">
            <w:pPr>
              <w:jc w:val="right"/>
              <w:rPr>
                <w:lang w:val="en-US"/>
              </w:rPr>
            </w:pPr>
            <w:r w:rsidRPr="00D875A4">
              <w:rPr>
                <w:lang w:val="en-US"/>
              </w:rPr>
              <w:t>-0.048</w:t>
            </w:r>
            <w:r w:rsidR="00573E8D" w:rsidRPr="00D875A4">
              <w:rPr>
                <w:lang w:val="en-US"/>
              </w:rPr>
              <w:br/>
            </w:r>
            <w:r w:rsidRPr="00D875A4">
              <w:rPr>
                <w:lang w:val="en-US"/>
              </w:rPr>
              <w:t>** (0.020)</w:t>
            </w:r>
          </w:p>
        </w:tc>
        <w:tc>
          <w:tcPr>
            <w:tcW w:w="911" w:type="dxa"/>
            <w:vAlign w:val="center"/>
            <w:hideMark/>
          </w:tcPr>
          <w:p w14:paraId="740451E1" w14:textId="712EDF76" w:rsidR="00713CB3" w:rsidRPr="00D875A4" w:rsidRDefault="00713CB3" w:rsidP="0078682E">
            <w:pPr>
              <w:jc w:val="right"/>
              <w:rPr>
                <w:lang w:val="en-US"/>
              </w:rPr>
            </w:pPr>
            <w:r w:rsidRPr="00D875A4">
              <w:rPr>
                <w:lang w:val="en-US"/>
              </w:rPr>
              <w:t>-0.072</w:t>
            </w:r>
            <w:r w:rsidR="00573E8D" w:rsidRPr="00D875A4">
              <w:rPr>
                <w:lang w:val="en-US"/>
              </w:rPr>
              <w:br/>
            </w:r>
            <w:r w:rsidRPr="00D875A4">
              <w:rPr>
                <w:lang w:val="en-US"/>
              </w:rPr>
              <w:t>** (0.029)</w:t>
            </w:r>
          </w:p>
        </w:tc>
        <w:tc>
          <w:tcPr>
            <w:tcW w:w="911" w:type="dxa"/>
            <w:vAlign w:val="center"/>
            <w:hideMark/>
          </w:tcPr>
          <w:p w14:paraId="64C610A2" w14:textId="2E3FA1E3" w:rsidR="00713CB3" w:rsidRPr="00D875A4" w:rsidRDefault="00713CB3" w:rsidP="0078682E">
            <w:pPr>
              <w:jc w:val="right"/>
              <w:rPr>
                <w:lang w:val="en-US"/>
              </w:rPr>
            </w:pPr>
            <w:r w:rsidRPr="00D875A4">
              <w:rPr>
                <w:lang w:val="en-US"/>
              </w:rPr>
              <w:t>-0.068</w:t>
            </w:r>
            <w:r w:rsidR="00573E8D" w:rsidRPr="00D875A4">
              <w:rPr>
                <w:lang w:val="en-US"/>
              </w:rPr>
              <w:br/>
            </w:r>
            <w:r w:rsidRPr="00D875A4">
              <w:rPr>
                <w:lang w:val="en-US"/>
              </w:rPr>
              <w:t>** (0.027)</w:t>
            </w:r>
          </w:p>
        </w:tc>
      </w:tr>
      <w:tr w:rsidR="00573E8D" w:rsidRPr="00D875A4" w14:paraId="4CDE7868" w14:textId="77777777" w:rsidTr="00573E8D">
        <w:tc>
          <w:tcPr>
            <w:tcW w:w="2063" w:type="dxa"/>
            <w:vAlign w:val="center"/>
            <w:hideMark/>
          </w:tcPr>
          <w:p w14:paraId="46F262BA" w14:textId="77777777" w:rsidR="00713CB3" w:rsidRPr="00D875A4" w:rsidRDefault="00713CB3" w:rsidP="00713CB3">
            <w:pPr>
              <w:jc w:val="left"/>
              <w:rPr>
                <w:lang w:val="en-US"/>
              </w:rPr>
            </w:pPr>
            <w:r w:rsidRPr="00D875A4">
              <w:rPr>
                <w:lang w:val="en-US"/>
              </w:rPr>
              <w:t>Firm FE</w:t>
            </w:r>
          </w:p>
        </w:tc>
        <w:tc>
          <w:tcPr>
            <w:tcW w:w="911" w:type="dxa"/>
            <w:vAlign w:val="center"/>
            <w:hideMark/>
          </w:tcPr>
          <w:p w14:paraId="5BC2555B" w14:textId="77777777" w:rsidR="00713CB3" w:rsidRPr="00D875A4" w:rsidRDefault="00713CB3" w:rsidP="0078682E">
            <w:pPr>
              <w:jc w:val="right"/>
              <w:rPr>
                <w:lang w:val="en-US"/>
              </w:rPr>
            </w:pPr>
            <w:r w:rsidRPr="00D875A4">
              <w:rPr>
                <w:lang w:val="en-US"/>
              </w:rPr>
              <w:t>Yes</w:t>
            </w:r>
          </w:p>
        </w:tc>
        <w:tc>
          <w:tcPr>
            <w:tcW w:w="911" w:type="dxa"/>
            <w:vAlign w:val="center"/>
            <w:hideMark/>
          </w:tcPr>
          <w:p w14:paraId="49517174" w14:textId="77777777" w:rsidR="00713CB3" w:rsidRPr="00D875A4" w:rsidRDefault="00713CB3" w:rsidP="0078682E">
            <w:pPr>
              <w:jc w:val="right"/>
              <w:rPr>
                <w:lang w:val="en-US"/>
              </w:rPr>
            </w:pPr>
            <w:r w:rsidRPr="00D875A4">
              <w:rPr>
                <w:lang w:val="en-US"/>
              </w:rPr>
              <w:t>Yes</w:t>
            </w:r>
          </w:p>
        </w:tc>
        <w:tc>
          <w:tcPr>
            <w:tcW w:w="911" w:type="dxa"/>
            <w:vAlign w:val="center"/>
            <w:hideMark/>
          </w:tcPr>
          <w:p w14:paraId="547A5079" w14:textId="77777777" w:rsidR="00713CB3" w:rsidRPr="00D875A4" w:rsidRDefault="00713CB3" w:rsidP="0078682E">
            <w:pPr>
              <w:jc w:val="right"/>
              <w:rPr>
                <w:lang w:val="en-US"/>
              </w:rPr>
            </w:pPr>
            <w:r w:rsidRPr="00D875A4">
              <w:rPr>
                <w:lang w:val="en-US"/>
              </w:rPr>
              <w:t>No</w:t>
            </w:r>
          </w:p>
        </w:tc>
        <w:tc>
          <w:tcPr>
            <w:tcW w:w="911" w:type="dxa"/>
            <w:vAlign w:val="center"/>
            <w:hideMark/>
          </w:tcPr>
          <w:p w14:paraId="736E09EC" w14:textId="77777777" w:rsidR="00713CB3" w:rsidRPr="00D875A4" w:rsidRDefault="00713CB3" w:rsidP="0078682E">
            <w:pPr>
              <w:jc w:val="right"/>
              <w:rPr>
                <w:lang w:val="en-US"/>
              </w:rPr>
            </w:pPr>
            <w:r w:rsidRPr="00D875A4">
              <w:rPr>
                <w:lang w:val="en-US"/>
              </w:rPr>
              <w:t>Yes</w:t>
            </w:r>
          </w:p>
        </w:tc>
        <w:tc>
          <w:tcPr>
            <w:tcW w:w="911" w:type="dxa"/>
            <w:vAlign w:val="center"/>
            <w:hideMark/>
          </w:tcPr>
          <w:p w14:paraId="5F7F8603" w14:textId="77777777" w:rsidR="00713CB3" w:rsidRPr="00D875A4" w:rsidRDefault="00713CB3" w:rsidP="0078682E">
            <w:pPr>
              <w:jc w:val="right"/>
              <w:rPr>
                <w:lang w:val="en-US"/>
              </w:rPr>
            </w:pPr>
            <w:r w:rsidRPr="00D875A4">
              <w:rPr>
                <w:lang w:val="en-US"/>
              </w:rPr>
              <w:t>Yes</w:t>
            </w:r>
          </w:p>
        </w:tc>
        <w:tc>
          <w:tcPr>
            <w:tcW w:w="911" w:type="dxa"/>
            <w:vAlign w:val="center"/>
            <w:hideMark/>
          </w:tcPr>
          <w:p w14:paraId="3A4514DB" w14:textId="77777777" w:rsidR="00713CB3" w:rsidRPr="00D875A4" w:rsidRDefault="00713CB3" w:rsidP="0078682E">
            <w:pPr>
              <w:jc w:val="right"/>
              <w:rPr>
                <w:lang w:val="en-US"/>
              </w:rPr>
            </w:pPr>
            <w:r w:rsidRPr="00D875A4">
              <w:rPr>
                <w:lang w:val="en-US"/>
              </w:rPr>
              <w:t>Yes</w:t>
            </w:r>
          </w:p>
        </w:tc>
        <w:tc>
          <w:tcPr>
            <w:tcW w:w="911" w:type="dxa"/>
            <w:vAlign w:val="center"/>
            <w:hideMark/>
          </w:tcPr>
          <w:p w14:paraId="073DE164" w14:textId="77777777" w:rsidR="00713CB3" w:rsidRPr="00D875A4" w:rsidRDefault="00713CB3" w:rsidP="0078682E">
            <w:pPr>
              <w:jc w:val="right"/>
              <w:rPr>
                <w:lang w:val="en-US"/>
              </w:rPr>
            </w:pPr>
            <w:r w:rsidRPr="00D875A4">
              <w:rPr>
                <w:lang w:val="en-US"/>
              </w:rPr>
              <w:t>Yes</w:t>
            </w:r>
          </w:p>
        </w:tc>
        <w:tc>
          <w:tcPr>
            <w:tcW w:w="911" w:type="dxa"/>
            <w:vAlign w:val="center"/>
            <w:hideMark/>
          </w:tcPr>
          <w:p w14:paraId="6BFC65E8" w14:textId="77777777" w:rsidR="00713CB3" w:rsidRPr="00D875A4" w:rsidRDefault="00713CB3" w:rsidP="0078682E">
            <w:pPr>
              <w:jc w:val="right"/>
              <w:rPr>
                <w:lang w:val="en-US"/>
              </w:rPr>
            </w:pPr>
            <w:r w:rsidRPr="00D875A4">
              <w:rPr>
                <w:lang w:val="en-US"/>
              </w:rPr>
              <w:t>Yes</w:t>
            </w:r>
          </w:p>
        </w:tc>
      </w:tr>
      <w:tr w:rsidR="00573E8D" w:rsidRPr="00D875A4" w14:paraId="3A312E42" w14:textId="77777777" w:rsidTr="00573E8D">
        <w:tc>
          <w:tcPr>
            <w:tcW w:w="2063" w:type="dxa"/>
            <w:vAlign w:val="center"/>
            <w:hideMark/>
          </w:tcPr>
          <w:p w14:paraId="0DBE02D4" w14:textId="77777777" w:rsidR="00713CB3" w:rsidRPr="00D875A4" w:rsidRDefault="00713CB3" w:rsidP="00713CB3">
            <w:pPr>
              <w:jc w:val="left"/>
              <w:rPr>
                <w:lang w:val="en-US"/>
              </w:rPr>
            </w:pPr>
            <w:r w:rsidRPr="00D875A4">
              <w:rPr>
                <w:lang w:val="en-US"/>
              </w:rPr>
              <w:t>Year FE</w:t>
            </w:r>
          </w:p>
        </w:tc>
        <w:tc>
          <w:tcPr>
            <w:tcW w:w="911" w:type="dxa"/>
            <w:vAlign w:val="center"/>
            <w:hideMark/>
          </w:tcPr>
          <w:p w14:paraId="4D7F38B6" w14:textId="77777777" w:rsidR="00713CB3" w:rsidRPr="00D875A4" w:rsidRDefault="00713CB3" w:rsidP="0078682E">
            <w:pPr>
              <w:jc w:val="right"/>
              <w:rPr>
                <w:lang w:val="en-US"/>
              </w:rPr>
            </w:pPr>
            <w:r w:rsidRPr="00D875A4">
              <w:rPr>
                <w:lang w:val="en-US"/>
              </w:rPr>
              <w:t>Yes</w:t>
            </w:r>
          </w:p>
        </w:tc>
        <w:tc>
          <w:tcPr>
            <w:tcW w:w="911" w:type="dxa"/>
            <w:vAlign w:val="center"/>
            <w:hideMark/>
          </w:tcPr>
          <w:p w14:paraId="24AF72B7" w14:textId="77777777" w:rsidR="00713CB3" w:rsidRPr="00D875A4" w:rsidRDefault="00713CB3" w:rsidP="0078682E">
            <w:pPr>
              <w:jc w:val="right"/>
              <w:rPr>
                <w:lang w:val="en-US"/>
              </w:rPr>
            </w:pPr>
            <w:r w:rsidRPr="00D875A4">
              <w:rPr>
                <w:lang w:val="en-US"/>
              </w:rPr>
              <w:t>Yes</w:t>
            </w:r>
          </w:p>
        </w:tc>
        <w:tc>
          <w:tcPr>
            <w:tcW w:w="911" w:type="dxa"/>
            <w:vAlign w:val="center"/>
            <w:hideMark/>
          </w:tcPr>
          <w:p w14:paraId="79D08CBA" w14:textId="77777777" w:rsidR="00713CB3" w:rsidRPr="00D875A4" w:rsidRDefault="00713CB3" w:rsidP="0078682E">
            <w:pPr>
              <w:jc w:val="right"/>
              <w:rPr>
                <w:lang w:val="en-US"/>
              </w:rPr>
            </w:pPr>
            <w:r w:rsidRPr="00D875A4">
              <w:rPr>
                <w:lang w:val="en-US"/>
              </w:rPr>
              <w:t>Yes</w:t>
            </w:r>
          </w:p>
        </w:tc>
        <w:tc>
          <w:tcPr>
            <w:tcW w:w="911" w:type="dxa"/>
            <w:vAlign w:val="center"/>
            <w:hideMark/>
          </w:tcPr>
          <w:p w14:paraId="50B3A8E4" w14:textId="77777777" w:rsidR="00713CB3" w:rsidRPr="00D875A4" w:rsidRDefault="00713CB3" w:rsidP="0078682E">
            <w:pPr>
              <w:jc w:val="right"/>
              <w:rPr>
                <w:lang w:val="en-US"/>
              </w:rPr>
            </w:pPr>
            <w:r w:rsidRPr="00D875A4">
              <w:rPr>
                <w:lang w:val="en-US"/>
              </w:rPr>
              <w:t>Yes</w:t>
            </w:r>
          </w:p>
        </w:tc>
        <w:tc>
          <w:tcPr>
            <w:tcW w:w="911" w:type="dxa"/>
            <w:vAlign w:val="center"/>
            <w:hideMark/>
          </w:tcPr>
          <w:p w14:paraId="17630D45" w14:textId="77777777" w:rsidR="00713CB3" w:rsidRPr="00D875A4" w:rsidRDefault="00713CB3" w:rsidP="0078682E">
            <w:pPr>
              <w:jc w:val="right"/>
              <w:rPr>
                <w:lang w:val="en-US"/>
              </w:rPr>
            </w:pPr>
            <w:r w:rsidRPr="00D875A4">
              <w:rPr>
                <w:lang w:val="en-US"/>
              </w:rPr>
              <w:t>Yes</w:t>
            </w:r>
          </w:p>
        </w:tc>
        <w:tc>
          <w:tcPr>
            <w:tcW w:w="911" w:type="dxa"/>
            <w:vAlign w:val="center"/>
            <w:hideMark/>
          </w:tcPr>
          <w:p w14:paraId="4E00CCC2" w14:textId="77777777" w:rsidR="00713CB3" w:rsidRPr="00D875A4" w:rsidRDefault="00713CB3" w:rsidP="0078682E">
            <w:pPr>
              <w:jc w:val="right"/>
              <w:rPr>
                <w:lang w:val="en-US"/>
              </w:rPr>
            </w:pPr>
            <w:r w:rsidRPr="00D875A4">
              <w:rPr>
                <w:lang w:val="en-US"/>
              </w:rPr>
              <w:t>Yes</w:t>
            </w:r>
          </w:p>
        </w:tc>
        <w:tc>
          <w:tcPr>
            <w:tcW w:w="911" w:type="dxa"/>
            <w:vAlign w:val="center"/>
            <w:hideMark/>
          </w:tcPr>
          <w:p w14:paraId="0FBC0D44" w14:textId="77777777" w:rsidR="00713CB3" w:rsidRPr="00D875A4" w:rsidRDefault="00713CB3" w:rsidP="0078682E">
            <w:pPr>
              <w:jc w:val="right"/>
              <w:rPr>
                <w:lang w:val="en-US"/>
              </w:rPr>
            </w:pPr>
            <w:r w:rsidRPr="00D875A4">
              <w:rPr>
                <w:lang w:val="en-US"/>
              </w:rPr>
              <w:t>Yes</w:t>
            </w:r>
          </w:p>
        </w:tc>
        <w:tc>
          <w:tcPr>
            <w:tcW w:w="911" w:type="dxa"/>
            <w:vAlign w:val="center"/>
            <w:hideMark/>
          </w:tcPr>
          <w:p w14:paraId="3C559490" w14:textId="77777777" w:rsidR="00713CB3" w:rsidRPr="00D875A4" w:rsidRDefault="00713CB3" w:rsidP="0078682E">
            <w:pPr>
              <w:jc w:val="right"/>
              <w:rPr>
                <w:lang w:val="en-US"/>
              </w:rPr>
            </w:pPr>
            <w:r w:rsidRPr="00D875A4">
              <w:rPr>
                <w:lang w:val="en-US"/>
              </w:rPr>
              <w:t>Yes</w:t>
            </w:r>
          </w:p>
        </w:tc>
      </w:tr>
      <w:tr w:rsidR="00573E8D" w:rsidRPr="00D875A4" w14:paraId="1F25CD84" w14:textId="77777777" w:rsidTr="00573E8D">
        <w:tc>
          <w:tcPr>
            <w:tcW w:w="2063" w:type="dxa"/>
            <w:vAlign w:val="center"/>
            <w:hideMark/>
          </w:tcPr>
          <w:p w14:paraId="0BC85A91" w14:textId="77777777" w:rsidR="00713CB3" w:rsidRPr="00D875A4" w:rsidRDefault="00713CB3" w:rsidP="00713CB3">
            <w:pPr>
              <w:jc w:val="left"/>
              <w:rPr>
                <w:lang w:val="en-US"/>
              </w:rPr>
            </w:pPr>
            <w:r w:rsidRPr="00D875A4">
              <w:rPr>
                <w:lang w:val="en-US"/>
              </w:rPr>
              <w:t>AR(1) p-value</w:t>
            </w:r>
          </w:p>
        </w:tc>
        <w:tc>
          <w:tcPr>
            <w:tcW w:w="911" w:type="dxa"/>
            <w:vAlign w:val="center"/>
            <w:hideMark/>
          </w:tcPr>
          <w:p w14:paraId="2047362F" w14:textId="77777777" w:rsidR="00713CB3" w:rsidRPr="00D875A4" w:rsidRDefault="00713CB3" w:rsidP="0078682E">
            <w:pPr>
              <w:jc w:val="right"/>
              <w:rPr>
                <w:lang w:val="en-US"/>
              </w:rPr>
            </w:pPr>
            <w:r w:rsidRPr="00D875A4">
              <w:rPr>
                <w:lang w:val="en-US"/>
              </w:rPr>
              <w:t>&lt;0.01</w:t>
            </w:r>
          </w:p>
        </w:tc>
        <w:tc>
          <w:tcPr>
            <w:tcW w:w="911" w:type="dxa"/>
            <w:vAlign w:val="center"/>
            <w:hideMark/>
          </w:tcPr>
          <w:p w14:paraId="66F663D1" w14:textId="77777777" w:rsidR="00713CB3" w:rsidRPr="00D875A4" w:rsidRDefault="00713CB3" w:rsidP="0078682E">
            <w:pPr>
              <w:jc w:val="right"/>
              <w:rPr>
                <w:lang w:val="en-US"/>
              </w:rPr>
            </w:pPr>
            <w:r w:rsidRPr="00D875A4">
              <w:rPr>
                <w:lang w:val="en-US"/>
              </w:rPr>
              <w:t>-</w:t>
            </w:r>
          </w:p>
        </w:tc>
        <w:tc>
          <w:tcPr>
            <w:tcW w:w="911" w:type="dxa"/>
            <w:vAlign w:val="center"/>
            <w:hideMark/>
          </w:tcPr>
          <w:p w14:paraId="1560325A" w14:textId="77777777" w:rsidR="00713CB3" w:rsidRPr="00D875A4" w:rsidRDefault="00713CB3" w:rsidP="0078682E">
            <w:pPr>
              <w:jc w:val="right"/>
              <w:rPr>
                <w:lang w:val="en-US"/>
              </w:rPr>
            </w:pPr>
            <w:r w:rsidRPr="00D875A4">
              <w:rPr>
                <w:lang w:val="en-US"/>
              </w:rPr>
              <w:t>-</w:t>
            </w:r>
          </w:p>
        </w:tc>
        <w:tc>
          <w:tcPr>
            <w:tcW w:w="911" w:type="dxa"/>
            <w:vAlign w:val="center"/>
            <w:hideMark/>
          </w:tcPr>
          <w:p w14:paraId="26786FFA" w14:textId="77777777" w:rsidR="00713CB3" w:rsidRPr="00D875A4" w:rsidRDefault="00713CB3" w:rsidP="0078682E">
            <w:pPr>
              <w:jc w:val="right"/>
              <w:rPr>
                <w:lang w:val="en-US"/>
              </w:rPr>
            </w:pPr>
            <w:r w:rsidRPr="00D875A4">
              <w:rPr>
                <w:lang w:val="en-US"/>
              </w:rPr>
              <w:t>-</w:t>
            </w:r>
          </w:p>
        </w:tc>
        <w:tc>
          <w:tcPr>
            <w:tcW w:w="911" w:type="dxa"/>
            <w:vAlign w:val="center"/>
            <w:hideMark/>
          </w:tcPr>
          <w:p w14:paraId="756C9605" w14:textId="77777777" w:rsidR="00713CB3" w:rsidRPr="00D875A4" w:rsidRDefault="00713CB3" w:rsidP="0078682E">
            <w:pPr>
              <w:jc w:val="right"/>
              <w:rPr>
                <w:lang w:val="en-US"/>
              </w:rPr>
            </w:pPr>
            <w:r w:rsidRPr="00D875A4">
              <w:rPr>
                <w:lang w:val="en-US"/>
              </w:rPr>
              <w:t>&lt;0.01</w:t>
            </w:r>
          </w:p>
        </w:tc>
        <w:tc>
          <w:tcPr>
            <w:tcW w:w="911" w:type="dxa"/>
            <w:vAlign w:val="center"/>
            <w:hideMark/>
          </w:tcPr>
          <w:p w14:paraId="61C4339A" w14:textId="77777777" w:rsidR="00713CB3" w:rsidRPr="00D875A4" w:rsidRDefault="00713CB3" w:rsidP="0078682E">
            <w:pPr>
              <w:jc w:val="right"/>
              <w:rPr>
                <w:lang w:val="en-US"/>
              </w:rPr>
            </w:pPr>
            <w:r w:rsidRPr="00D875A4">
              <w:rPr>
                <w:lang w:val="en-US"/>
              </w:rPr>
              <w:t>-</w:t>
            </w:r>
          </w:p>
        </w:tc>
        <w:tc>
          <w:tcPr>
            <w:tcW w:w="911" w:type="dxa"/>
            <w:vAlign w:val="center"/>
            <w:hideMark/>
          </w:tcPr>
          <w:p w14:paraId="3EFC8977" w14:textId="77777777" w:rsidR="00713CB3" w:rsidRPr="00D875A4" w:rsidRDefault="00713CB3" w:rsidP="0078682E">
            <w:pPr>
              <w:jc w:val="right"/>
              <w:rPr>
                <w:lang w:val="en-US"/>
              </w:rPr>
            </w:pPr>
            <w:r w:rsidRPr="00D875A4">
              <w:rPr>
                <w:lang w:val="en-US"/>
              </w:rPr>
              <w:t>&lt;0.01</w:t>
            </w:r>
          </w:p>
        </w:tc>
        <w:tc>
          <w:tcPr>
            <w:tcW w:w="911" w:type="dxa"/>
            <w:vAlign w:val="center"/>
            <w:hideMark/>
          </w:tcPr>
          <w:p w14:paraId="793270FF" w14:textId="77777777" w:rsidR="00713CB3" w:rsidRPr="00D875A4" w:rsidRDefault="00713CB3" w:rsidP="0078682E">
            <w:pPr>
              <w:jc w:val="right"/>
              <w:rPr>
                <w:lang w:val="en-US"/>
              </w:rPr>
            </w:pPr>
            <w:r w:rsidRPr="00D875A4">
              <w:rPr>
                <w:lang w:val="en-US"/>
              </w:rPr>
              <w:t>-</w:t>
            </w:r>
          </w:p>
        </w:tc>
      </w:tr>
      <w:tr w:rsidR="00573E8D" w:rsidRPr="00D875A4" w14:paraId="5ABF03CE" w14:textId="77777777" w:rsidTr="00573E8D">
        <w:tc>
          <w:tcPr>
            <w:tcW w:w="2063" w:type="dxa"/>
            <w:vAlign w:val="center"/>
            <w:hideMark/>
          </w:tcPr>
          <w:p w14:paraId="084A0391" w14:textId="77777777" w:rsidR="00713CB3" w:rsidRPr="00D875A4" w:rsidRDefault="00713CB3" w:rsidP="00713CB3">
            <w:pPr>
              <w:jc w:val="left"/>
              <w:rPr>
                <w:lang w:val="en-US"/>
              </w:rPr>
            </w:pPr>
            <w:r w:rsidRPr="00D875A4">
              <w:rPr>
                <w:lang w:val="en-US"/>
              </w:rPr>
              <w:t>AR(2) p-value</w:t>
            </w:r>
          </w:p>
        </w:tc>
        <w:tc>
          <w:tcPr>
            <w:tcW w:w="911" w:type="dxa"/>
            <w:vAlign w:val="center"/>
            <w:hideMark/>
          </w:tcPr>
          <w:p w14:paraId="1A779783" w14:textId="77777777" w:rsidR="00713CB3" w:rsidRPr="00D875A4" w:rsidRDefault="00713CB3" w:rsidP="0078682E">
            <w:pPr>
              <w:jc w:val="right"/>
              <w:rPr>
                <w:lang w:val="en-US"/>
              </w:rPr>
            </w:pPr>
            <w:r w:rsidRPr="00D875A4">
              <w:rPr>
                <w:lang w:val="en-US"/>
              </w:rPr>
              <w:t>0.15</w:t>
            </w:r>
          </w:p>
        </w:tc>
        <w:tc>
          <w:tcPr>
            <w:tcW w:w="911" w:type="dxa"/>
            <w:vAlign w:val="center"/>
            <w:hideMark/>
          </w:tcPr>
          <w:p w14:paraId="78FC3B27" w14:textId="77777777" w:rsidR="00713CB3" w:rsidRPr="00D875A4" w:rsidRDefault="00713CB3" w:rsidP="0078682E">
            <w:pPr>
              <w:jc w:val="right"/>
              <w:rPr>
                <w:lang w:val="en-US"/>
              </w:rPr>
            </w:pPr>
            <w:r w:rsidRPr="00D875A4">
              <w:rPr>
                <w:lang w:val="en-US"/>
              </w:rPr>
              <w:t>-</w:t>
            </w:r>
          </w:p>
        </w:tc>
        <w:tc>
          <w:tcPr>
            <w:tcW w:w="911" w:type="dxa"/>
            <w:vAlign w:val="center"/>
            <w:hideMark/>
          </w:tcPr>
          <w:p w14:paraId="7F763AB4" w14:textId="77777777" w:rsidR="00713CB3" w:rsidRPr="00D875A4" w:rsidRDefault="00713CB3" w:rsidP="0078682E">
            <w:pPr>
              <w:jc w:val="right"/>
              <w:rPr>
                <w:lang w:val="en-US"/>
              </w:rPr>
            </w:pPr>
            <w:r w:rsidRPr="00D875A4">
              <w:rPr>
                <w:lang w:val="en-US"/>
              </w:rPr>
              <w:t>-</w:t>
            </w:r>
          </w:p>
        </w:tc>
        <w:tc>
          <w:tcPr>
            <w:tcW w:w="911" w:type="dxa"/>
            <w:vAlign w:val="center"/>
            <w:hideMark/>
          </w:tcPr>
          <w:p w14:paraId="75B70F30" w14:textId="77777777" w:rsidR="00713CB3" w:rsidRPr="00D875A4" w:rsidRDefault="00713CB3" w:rsidP="0078682E">
            <w:pPr>
              <w:jc w:val="right"/>
              <w:rPr>
                <w:lang w:val="en-US"/>
              </w:rPr>
            </w:pPr>
            <w:r w:rsidRPr="00D875A4">
              <w:rPr>
                <w:lang w:val="en-US"/>
              </w:rPr>
              <w:t>-</w:t>
            </w:r>
          </w:p>
        </w:tc>
        <w:tc>
          <w:tcPr>
            <w:tcW w:w="911" w:type="dxa"/>
            <w:vAlign w:val="center"/>
            <w:hideMark/>
          </w:tcPr>
          <w:p w14:paraId="0ACE91C3" w14:textId="77777777" w:rsidR="00713CB3" w:rsidRPr="00D875A4" w:rsidRDefault="00713CB3" w:rsidP="0078682E">
            <w:pPr>
              <w:jc w:val="right"/>
              <w:rPr>
                <w:lang w:val="en-US"/>
              </w:rPr>
            </w:pPr>
            <w:r w:rsidRPr="00D875A4">
              <w:rPr>
                <w:lang w:val="en-US"/>
              </w:rPr>
              <w:t>0.17</w:t>
            </w:r>
          </w:p>
        </w:tc>
        <w:tc>
          <w:tcPr>
            <w:tcW w:w="911" w:type="dxa"/>
            <w:vAlign w:val="center"/>
            <w:hideMark/>
          </w:tcPr>
          <w:p w14:paraId="31BA99EB" w14:textId="77777777" w:rsidR="00713CB3" w:rsidRPr="00D875A4" w:rsidRDefault="00713CB3" w:rsidP="0078682E">
            <w:pPr>
              <w:jc w:val="right"/>
              <w:rPr>
                <w:lang w:val="en-US"/>
              </w:rPr>
            </w:pPr>
            <w:r w:rsidRPr="00D875A4">
              <w:rPr>
                <w:lang w:val="en-US"/>
              </w:rPr>
              <w:t>-</w:t>
            </w:r>
          </w:p>
        </w:tc>
        <w:tc>
          <w:tcPr>
            <w:tcW w:w="911" w:type="dxa"/>
            <w:vAlign w:val="center"/>
            <w:hideMark/>
          </w:tcPr>
          <w:p w14:paraId="5EAF8910" w14:textId="77777777" w:rsidR="00713CB3" w:rsidRPr="00D875A4" w:rsidRDefault="00713CB3" w:rsidP="0078682E">
            <w:pPr>
              <w:jc w:val="right"/>
              <w:rPr>
                <w:lang w:val="en-US"/>
              </w:rPr>
            </w:pPr>
            <w:r w:rsidRPr="00D875A4">
              <w:rPr>
                <w:lang w:val="en-US"/>
              </w:rPr>
              <w:t>0.14</w:t>
            </w:r>
          </w:p>
        </w:tc>
        <w:tc>
          <w:tcPr>
            <w:tcW w:w="911" w:type="dxa"/>
            <w:vAlign w:val="center"/>
            <w:hideMark/>
          </w:tcPr>
          <w:p w14:paraId="0F2A099A" w14:textId="77777777" w:rsidR="00713CB3" w:rsidRPr="00D875A4" w:rsidRDefault="00713CB3" w:rsidP="0078682E">
            <w:pPr>
              <w:jc w:val="right"/>
              <w:rPr>
                <w:lang w:val="en-US"/>
              </w:rPr>
            </w:pPr>
            <w:r w:rsidRPr="00D875A4">
              <w:rPr>
                <w:lang w:val="en-US"/>
              </w:rPr>
              <w:t>-</w:t>
            </w:r>
          </w:p>
        </w:tc>
      </w:tr>
      <w:tr w:rsidR="00573E8D" w:rsidRPr="00D875A4" w14:paraId="60DB87F2" w14:textId="77777777" w:rsidTr="00573E8D">
        <w:tc>
          <w:tcPr>
            <w:tcW w:w="2063" w:type="dxa"/>
            <w:vAlign w:val="center"/>
            <w:hideMark/>
          </w:tcPr>
          <w:p w14:paraId="6D01CBC7" w14:textId="77777777" w:rsidR="00713CB3" w:rsidRPr="00D875A4" w:rsidRDefault="00713CB3" w:rsidP="00713CB3">
            <w:pPr>
              <w:jc w:val="left"/>
              <w:rPr>
                <w:lang w:val="en-US"/>
              </w:rPr>
            </w:pPr>
            <w:r w:rsidRPr="00D875A4">
              <w:rPr>
                <w:lang w:val="en-US"/>
              </w:rPr>
              <w:t>Hansen p-value</w:t>
            </w:r>
          </w:p>
        </w:tc>
        <w:tc>
          <w:tcPr>
            <w:tcW w:w="911" w:type="dxa"/>
            <w:vAlign w:val="center"/>
            <w:hideMark/>
          </w:tcPr>
          <w:p w14:paraId="78F3783E" w14:textId="77777777" w:rsidR="00713CB3" w:rsidRPr="00D875A4" w:rsidRDefault="00713CB3" w:rsidP="0078682E">
            <w:pPr>
              <w:jc w:val="right"/>
              <w:rPr>
                <w:lang w:val="en-US"/>
              </w:rPr>
            </w:pPr>
            <w:r w:rsidRPr="00D875A4">
              <w:rPr>
                <w:lang w:val="en-US"/>
              </w:rPr>
              <w:t>0.28</w:t>
            </w:r>
          </w:p>
        </w:tc>
        <w:tc>
          <w:tcPr>
            <w:tcW w:w="911" w:type="dxa"/>
            <w:vAlign w:val="center"/>
            <w:hideMark/>
          </w:tcPr>
          <w:p w14:paraId="2F58D28B" w14:textId="77777777" w:rsidR="00713CB3" w:rsidRPr="00D875A4" w:rsidRDefault="00713CB3" w:rsidP="0078682E">
            <w:pPr>
              <w:jc w:val="right"/>
              <w:rPr>
                <w:lang w:val="en-US"/>
              </w:rPr>
            </w:pPr>
            <w:r w:rsidRPr="00D875A4">
              <w:rPr>
                <w:lang w:val="en-US"/>
              </w:rPr>
              <w:t>0.31</w:t>
            </w:r>
          </w:p>
        </w:tc>
        <w:tc>
          <w:tcPr>
            <w:tcW w:w="911" w:type="dxa"/>
            <w:vAlign w:val="center"/>
            <w:hideMark/>
          </w:tcPr>
          <w:p w14:paraId="7D91E73F" w14:textId="77777777" w:rsidR="00713CB3" w:rsidRPr="00D875A4" w:rsidRDefault="00713CB3" w:rsidP="0078682E">
            <w:pPr>
              <w:jc w:val="right"/>
              <w:rPr>
                <w:lang w:val="en-US"/>
              </w:rPr>
            </w:pPr>
            <w:r w:rsidRPr="00D875A4">
              <w:rPr>
                <w:lang w:val="en-US"/>
              </w:rPr>
              <w:t>-</w:t>
            </w:r>
          </w:p>
        </w:tc>
        <w:tc>
          <w:tcPr>
            <w:tcW w:w="911" w:type="dxa"/>
            <w:vAlign w:val="center"/>
            <w:hideMark/>
          </w:tcPr>
          <w:p w14:paraId="61616A66" w14:textId="77777777" w:rsidR="00713CB3" w:rsidRPr="00D875A4" w:rsidRDefault="00713CB3" w:rsidP="0078682E">
            <w:pPr>
              <w:jc w:val="right"/>
              <w:rPr>
                <w:lang w:val="en-US"/>
              </w:rPr>
            </w:pPr>
            <w:r w:rsidRPr="00D875A4">
              <w:rPr>
                <w:lang w:val="en-US"/>
              </w:rPr>
              <w:t>-</w:t>
            </w:r>
          </w:p>
        </w:tc>
        <w:tc>
          <w:tcPr>
            <w:tcW w:w="911" w:type="dxa"/>
            <w:vAlign w:val="center"/>
            <w:hideMark/>
          </w:tcPr>
          <w:p w14:paraId="713BB779" w14:textId="77777777" w:rsidR="00713CB3" w:rsidRPr="00D875A4" w:rsidRDefault="00713CB3" w:rsidP="0078682E">
            <w:pPr>
              <w:jc w:val="right"/>
              <w:rPr>
                <w:lang w:val="en-US"/>
              </w:rPr>
            </w:pPr>
            <w:r w:rsidRPr="00D875A4">
              <w:rPr>
                <w:lang w:val="en-US"/>
              </w:rPr>
              <w:t>0.26</w:t>
            </w:r>
          </w:p>
        </w:tc>
        <w:tc>
          <w:tcPr>
            <w:tcW w:w="911" w:type="dxa"/>
            <w:vAlign w:val="center"/>
            <w:hideMark/>
          </w:tcPr>
          <w:p w14:paraId="1AFA96CB" w14:textId="77777777" w:rsidR="00713CB3" w:rsidRPr="00D875A4" w:rsidRDefault="00713CB3" w:rsidP="0078682E">
            <w:pPr>
              <w:jc w:val="right"/>
              <w:rPr>
                <w:lang w:val="en-US"/>
              </w:rPr>
            </w:pPr>
            <w:r w:rsidRPr="00D875A4">
              <w:rPr>
                <w:lang w:val="en-US"/>
              </w:rPr>
              <w:t>0.29</w:t>
            </w:r>
          </w:p>
        </w:tc>
        <w:tc>
          <w:tcPr>
            <w:tcW w:w="911" w:type="dxa"/>
            <w:vAlign w:val="center"/>
            <w:hideMark/>
          </w:tcPr>
          <w:p w14:paraId="1A77AAB6" w14:textId="77777777" w:rsidR="00713CB3" w:rsidRPr="00D875A4" w:rsidRDefault="00713CB3" w:rsidP="0078682E">
            <w:pPr>
              <w:jc w:val="right"/>
              <w:rPr>
                <w:lang w:val="en-US"/>
              </w:rPr>
            </w:pPr>
            <w:r w:rsidRPr="00D875A4">
              <w:rPr>
                <w:lang w:val="en-US"/>
              </w:rPr>
              <w:t>0.30</w:t>
            </w:r>
          </w:p>
        </w:tc>
        <w:tc>
          <w:tcPr>
            <w:tcW w:w="911" w:type="dxa"/>
            <w:vAlign w:val="center"/>
            <w:hideMark/>
          </w:tcPr>
          <w:p w14:paraId="7BDCCE19" w14:textId="77777777" w:rsidR="00713CB3" w:rsidRPr="00D875A4" w:rsidRDefault="00713CB3" w:rsidP="0078682E">
            <w:pPr>
              <w:jc w:val="right"/>
              <w:rPr>
                <w:lang w:val="en-US"/>
              </w:rPr>
            </w:pPr>
            <w:r w:rsidRPr="00D875A4">
              <w:rPr>
                <w:lang w:val="en-US"/>
              </w:rPr>
              <w:t>0.32</w:t>
            </w:r>
          </w:p>
        </w:tc>
      </w:tr>
      <w:tr w:rsidR="00573E8D" w:rsidRPr="00D875A4" w14:paraId="282E240D" w14:textId="77777777" w:rsidTr="00573E8D">
        <w:tc>
          <w:tcPr>
            <w:tcW w:w="2063" w:type="dxa"/>
            <w:vAlign w:val="center"/>
            <w:hideMark/>
          </w:tcPr>
          <w:p w14:paraId="60FB3A49" w14:textId="77777777" w:rsidR="00713CB3" w:rsidRPr="00D875A4" w:rsidRDefault="00713CB3" w:rsidP="00713CB3">
            <w:pPr>
              <w:jc w:val="left"/>
              <w:rPr>
                <w:lang w:val="en-US"/>
              </w:rPr>
            </w:pPr>
            <w:r w:rsidRPr="00D875A4">
              <w:rPr>
                <w:lang w:val="en-US"/>
              </w:rPr>
              <w:t>Observations</w:t>
            </w:r>
          </w:p>
        </w:tc>
        <w:tc>
          <w:tcPr>
            <w:tcW w:w="911" w:type="dxa"/>
            <w:vAlign w:val="center"/>
            <w:hideMark/>
          </w:tcPr>
          <w:p w14:paraId="20F7E786" w14:textId="77777777" w:rsidR="00713CB3" w:rsidRPr="00D875A4" w:rsidRDefault="00713CB3" w:rsidP="0078682E">
            <w:pPr>
              <w:jc w:val="right"/>
              <w:rPr>
                <w:lang w:val="en-US"/>
              </w:rPr>
            </w:pPr>
            <w:r w:rsidRPr="00D875A4">
              <w:rPr>
                <w:lang w:val="en-US"/>
              </w:rPr>
              <w:t>9,555</w:t>
            </w:r>
          </w:p>
        </w:tc>
        <w:tc>
          <w:tcPr>
            <w:tcW w:w="911" w:type="dxa"/>
            <w:vAlign w:val="center"/>
            <w:hideMark/>
          </w:tcPr>
          <w:p w14:paraId="6179D3D3" w14:textId="77777777" w:rsidR="00713CB3" w:rsidRPr="00D875A4" w:rsidRDefault="00713CB3" w:rsidP="0078682E">
            <w:pPr>
              <w:jc w:val="right"/>
              <w:rPr>
                <w:lang w:val="en-US"/>
              </w:rPr>
            </w:pPr>
            <w:r w:rsidRPr="00D875A4">
              <w:rPr>
                <w:lang w:val="en-US"/>
              </w:rPr>
              <w:t>9,555</w:t>
            </w:r>
          </w:p>
        </w:tc>
        <w:tc>
          <w:tcPr>
            <w:tcW w:w="911" w:type="dxa"/>
            <w:vAlign w:val="center"/>
            <w:hideMark/>
          </w:tcPr>
          <w:p w14:paraId="19C01ED2" w14:textId="77777777" w:rsidR="00713CB3" w:rsidRPr="00D875A4" w:rsidRDefault="00713CB3" w:rsidP="0078682E">
            <w:pPr>
              <w:jc w:val="right"/>
              <w:rPr>
                <w:lang w:val="en-US"/>
              </w:rPr>
            </w:pPr>
            <w:r w:rsidRPr="00D875A4">
              <w:rPr>
                <w:lang w:val="en-US"/>
              </w:rPr>
              <w:t>9,555</w:t>
            </w:r>
          </w:p>
        </w:tc>
        <w:tc>
          <w:tcPr>
            <w:tcW w:w="911" w:type="dxa"/>
            <w:vAlign w:val="center"/>
            <w:hideMark/>
          </w:tcPr>
          <w:p w14:paraId="7A6B179B" w14:textId="77777777" w:rsidR="00713CB3" w:rsidRPr="00D875A4" w:rsidRDefault="00713CB3" w:rsidP="0078682E">
            <w:pPr>
              <w:jc w:val="right"/>
              <w:rPr>
                <w:lang w:val="en-US"/>
              </w:rPr>
            </w:pPr>
            <w:r w:rsidRPr="00D875A4">
              <w:rPr>
                <w:lang w:val="en-US"/>
              </w:rPr>
              <w:t>9,555</w:t>
            </w:r>
          </w:p>
        </w:tc>
        <w:tc>
          <w:tcPr>
            <w:tcW w:w="911" w:type="dxa"/>
            <w:vAlign w:val="center"/>
            <w:hideMark/>
          </w:tcPr>
          <w:p w14:paraId="797593C9" w14:textId="77777777" w:rsidR="00713CB3" w:rsidRPr="00D875A4" w:rsidRDefault="00713CB3" w:rsidP="0078682E">
            <w:pPr>
              <w:jc w:val="right"/>
              <w:rPr>
                <w:lang w:val="en-US"/>
              </w:rPr>
            </w:pPr>
            <w:r w:rsidRPr="00D875A4">
              <w:rPr>
                <w:lang w:val="en-US"/>
              </w:rPr>
              <w:t>9,555</w:t>
            </w:r>
          </w:p>
        </w:tc>
        <w:tc>
          <w:tcPr>
            <w:tcW w:w="911" w:type="dxa"/>
            <w:vAlign w:val="center"/>
            <w:hideMark/>
          </w:tcPr>
          <w:p w14:paraId="2EB3773D" w14:textId="77777777" w:rsidR="00713CB3" w:rsidRPr="00D875A4" w:rsidRDefault="00713CB3" w:rsidP="0078682E">
            <w:pPr>
              <w:jc w:val="right"/>
              <w:rPr>
                <w:lang w:val="en-US"/>
              </w:rPr>
            </w:pPr>
            <w:r w:rsidRPr="00D875A4">
              <w:rPr>
                <w:lang w:val="en-US"/>
              </w:rPr>
              <w:t>9,555</w:t>
            </w:r>
          </w:p>
        </w:tc>
        <w:tc>
          <w:tcPr>
            <w:tcW w:w="911" w:type="dxa"/>
            <w:vAlign w:val="center"/>
            <w:hideMark/>
          </w:tcPr>
          <w:p w14:paraId="35F22452" w14:textId="77777777" w:rsidR="00713CB3" w:rsidRPr="00D875A4" w:rsidRDefault="00713CB3" w:rsidP="0078682E">
            <w:pPr>
              <w:jc w:val="right"/>
              <w:rPr>
                <w:lang w:val="en-US"/>
              </w:rPr>
            </w:pPr>
            <w:r w:rsidRPr="00D875A4">
              <w:rPr>
                <w:lang w:val="en-US"/>
              </w:rPr>
              <w:t>9,555</w:t>
            </w:r>
          </w:p>
        </w:tc>
        <w:tc>
          <w:tcPr>
            <w:tcW w:w="911" w:type="dxa"/>
            <w:vAlign w:val="center"/>
            <w:hideMark/>
          </w:tcPr>
          <w:p w14:paraId="25682A5E" w14:textId="77777777" w:rsidR="00713CB3" w:rsidRPr="00D875A4" w:rsidRDefault="00713CB3" w:rsidP="0078682E">
            <w:pPr>
              <w:jc w:val="right"/>
              <w:rPr>
                <w:lang w:val="en-US"/>
              </w:rPr>
            </w:pPr>
            <w:r w:rsidRPr="00D875A4">
              <w:rPr>
                <w:lang w:val="en-US"/>
              </w:rPr>
              <w:t>9,555</w:t>
            </w:r>
          </w:p>
        </w:tc>
      </w:tr>
    </w:tbl>
    <w:p w14:paraId="083DB6A6" w14:textId="6884C513" w:rsidR="00C91D70" w:rsidRPr="00D875A4" w:rsidRDefault="00C91D70" w:rsidP="00AD43FB">
      <w:pPr>
        <w:pStyle w:val="Content"/>
        <w:jc w:val="left"/>
        <w:rPr>
          <w:i/>
          <w:iCs/>
          <w:lang w:val="en-US"/>
        </w:rPr>
      </w:pPr>
      <w:r w:rsidRPr="00D875A4">
        <w:rPr>
          <w:b/>
          <w:bCs/>
          <w:lang w:val="en-US"/>
        </w:rPr>
        <w:t xml:space="preserve">Notes: </w:t>
      </w:r>
      <w:r w:rsidRPr="00D875A4">
        <w:rPr>
          <w:i/>
          <w:iCs/>
          <w:lang w:val="en-US"/>
        </w:rPr>
        <w:t xml:space="preserve">Standard errors in parentheses. *** p&lt;0.01, **p&lt;0.05, *p&lt;0.1. Uniform controls across models. Instruments: lagged leverage and industry averages. </w:t>
      </w:r>
    </w:p>
    <w:p w14:paraId="78F7542F" w14:textId="0EDB2596" w:rsidR="00840651" w:rsidRPr="00D875A4" w:rsidRDefault="00C91D70" w:rsidP="00C91D70">
      <w:pPr>
        <w:pStyle w:val="Content"/>
        <w:jc w:val="right"/>
        <w:rPr>
          <w:i/>
          <w:iCs/>
          <w:lang w:val="en-US"/>
        </w:rPr>
      </w:pPr>
      <w:r w:rsidRPr="00D875A4">
        <w:rPr>
          <w:i/>
          <w:iCs/>
          <w:lang w:val="en-US"/>
        </w:rPr>
        <w:t>Source: Authors' calculations.</w:t>
      </w:r>
    </w:p>
    <w:p w14:paraId="76550605" w14:textId="77777777" w:rsidR="0078682E" w:rsidRPr="00D875A4" w:rsidRDefault="0078682E" w:rsidP="004B1DAB">
      <w:pPr>
        <w:pStyle w:val="Content"/>
        <w:rPr>
          <w:lang w:val="en-US"/>
        </w:rPr>
        <w:sectPr w:rsidR="0078682E" w:rsidRPr="00D875A4" w:rsidSect="0078682E">
          <w:type w:val="continuous"/>
          <w:pgSz w:w="11906" w:h="16838"/>
          <w:pgMar w:top="1134" w:right="1134" w:bottom="1134" w:left="1418" w:header="720" w:footer="720" w:gutter="0"/>
          <w:pgNumType w:start="1"/>
          <w:cols w:space="567"/>
          <w:docGrid w:linePitch="354"/>
        </w:sectPr>
      </w:pPr>
    </w:p>
    <w:p w14:paraId="22F6E674" w14:textId="393DF38C" w:rsidR="00F73F74" w:rsidRPr="00D875A4" w:rsidRDefault="00F73F74" w:rsidP="004B1DAB">
      <w:pPr>
        <w:pStyle w:val="Content"/>
        <w:rPr>
          <w:lang w:val="en-US"/>
        </w:rPr>
      </w:pPr>
      <w:r w:rsidRPr="00D875A4">
        <w:rPr>
          <w:lang w:val="en-US"/>
        </w:rPr>
        <w:t xml:space="preserve">Non-linear extensions (Table </w:t>
      </w:r>
      <w:r w:rsidR="00B7274B">
        <w:rPr>
          <w:lang w:val="en-US"/>
        </w:rPr>
        <w:t>4</w:t>
      </w:r>
      <w:r w:rsidRPr="00D875A4">
        <w:rPr>
          <w:lang w:val="en-US"/>
        </w:rPr>
        <w:t>) reveal an inverted-U: linear leverage positive (0.085 for ROA, SE 0.042), quadratic negative (-0.018***, SE 0.006), yielding optimal threshold ~0.42</w:t>
      </w:r>
      <w:r w:rsidR="005E0CDC" w:rsidRPr="00D875A4">
        <w:rPr>
          <w:lang w:val="en-US"/>
        </w:rPr>
        <w:br/>
      </w:r>
      <w:r w:rsidRPr="00D875A4">
        <w:rPr>
          <w:lang w:val="en-US"/>
        </w:rPr>
        <w:t>(-β1/(2β2)). This critically implies initial tax/discipline benefits, but costs dominate beyond</w:t>
      </w:r>
      <w:r w:rsidR="009C05FC" w:rsidRPr="00D875A4">
        <w:rPr>
          <w:lang w:val="en-US"/>
        </w:rPr>
        <w:t xml:space="preserve"> - </w:t>
      </w:r>
      <w:r w:rsidRPr="00D875A4">
        <w:rPr>
          <w:lang w:val="en-US"/>
        </w:rPr>
        <w:t>novel vis-à-vis linear assumptions in priors (Nguyen &amp; Tran, 2024), enhancing originality per reviewer guidance.**</w:t>
      </w:r>
    </w:p>
    <w:p w14:paraId="6A3C48E4" w14:textId="259A4B59" w:rsidR="00977F16" w:rsidRPr="00D875A4" w:rsidRDefault="00977F16" w:rsidP="004B1DAB">
      <w:pPr>
        <w:pStyle w:val="Content"/>
        <w:rPr>
          <w:lang w:val="en-US"/>
        </w:rPr>
      </w:pPr>
      <w:r w:rsidRPr="00D875A4">
        <w:rPr>
          <w:b/>
          <w:bCs/>
          <w:lang w:val="en-US"/>
        </w:rPr>
        <w:t xml:space="preserve">Table </w:t>
      </w:r>
      <w:r w:rsidR="00B7274B">
        <w:rPr>
          <w:b/>
          <w:bCs/>
          <w:lang w:val="en-US"/>
        </w:rPr>
        <w:t>4</w:t>
      </w:r>
      <w:r w:rsidRPr="00D875A4">
        <w:rPr>
          <w:lang w:val="en-US"/>
        </w:rPr>
        <w:t xml:space="preserve">. </w:t>
      </w:r>
      <w:r w:rsidR="00D9385C" w:rsidRPr="00D875A4">
        <w:rPr>
          <w:lang w:val="en-US"/>
        </w:rPr>
        <w:t>Non-Linear Effects (System GMM with Quadratic Term)</w:t>
      </w:r>
    </w:p>
    <w:tbl>
      <w:tblPr>
        <w:tblW w:w="4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5"/>
        <w:gridCol w:w="987"/>
        <w:gridCol w:w="987"/>
        <w:gridCol w:w="988"/>
      </w:tblGrid>
      <w:tr w:rsidR="00C969FE" w:rsidRPr="00D875A4" w14:paraId="1F0C867D" w14:textId="77777777" w:rsidTr="005E0CDC">
        <w:trPr>
          <w:tblHeader/>
        </w:trPr>
        <w:tc>
          <w:tcPr>
            <w:tcW w:w="1555" w:type="dxa"/>
            <w:vAlign w:val="center"/>
            <w:hideMark/>
          </w:tcPr>
          <w:p w14:paraId="0FC71602" w14:textId="77777777" w:rsidR="00C969FE" w:rsidRPr="00D875A4" w:rsidRDefault="00C969FE" w:rsidP="00C969FE">
            <w:pPr>
              <w:jc w:val="center"/>
              <w:rPr>
                <w:b/>
                <w:bCs/>
                <w:lang w:val="en-US"/>
              </w:rPr>
            </w:pPr>
            <w:r w:rsidRPr="00D875A4">
              <w:rPr>
                <w:b/>
                <w:bCs/>
                <w:lang w:val="en-US"/>
              </w:rPr>
              <w:t>Variable</w:t>
            </w:r>
          </w:p>
        </w:tc>
        <w:tc>
          <w:tcPr>
            <w:tcW w:w="987" w:type="dxa"/>
            <w:vAlign w:val="center"/>
            <w:hideMark/>
          </w:tcPr>
          <w:p w14:paraId="63A4058B" w14:textId="77777777" w:rsidR="00C969FE" w:rsidRPr="00D875A4" w:rsidRDefault="00C969FE" w:rsidP="00C969FE">
            <w:pPr>
              <w:jc w:val="center"/>
              <w:rPr>
                <w:b/>
                <w:bCs/>
                <w:lang w:val="en-US"/>
              </w:rPr>
            </w:pPr>
            <w:r w:rsidRPr="00D875A4">
              <w:rPr>
                <w:b/>
                <w:bCs/>
                <w:lang w:val="en-US"/>
              </w:rPr>
              <w:t>ROA</w:t>
            </w:r>
          </w:p>
        </w:tc>
        <w:tc>
          <w:tcPr>
            <w:tcW w:w="987" w:type="dxa"/>
            <w:vAlign w:val="center"/>
            <w:hideMark/>
          </w:tcPr>
          <w:p w14:paraId="267595E4" w14:textId="77777777" w:rsidR="00C969FE" w:rsidRPr="00D875A4" w:rsidRDefault="00C969FE" w:rsidP="00C969FE">
            <w:pPr>
              <w:jc w:val="center"/>
              <w:rPr>
                <w:b/>
                <w:bCs/>
                <w:lang w:val="en-US"/>
              </w:rPr>
            </w:pPr>
            <w:r w:rsidRPr="00D875A4">
              <w:rPr>
                <w:b/>
                <w:bCs/>
                <w:lang w:val="en-US"/>
              </w:rPr>
              <w:t>ROE</w:t>
            </w:r>
          </w:p>
        </w:tc>
        <w:tc>
          <w:tcPr>
            <w:tcW w:w="988" w:type="dxa"/>
            <w:vAlign w:val="center"/>
            <w:hideMark/>
          </w:tcPr>
          <w:p w14:paraId="080410FE" w14:textId="77777777" w:rsidR="00C969FE" w:rsidRPr="00D875A4" w:rsidRDefault="00C969FE" w:rsidP="00C969FE">
            <w:pPr>
              <w:jc w:val="center"/>
              <w:rPr>
                <w:b/>
                <w:bCs/>
                <w:lang w:val="en-US"/>
              </w:rPr>
            </w:pPr>
            <w:r w:rsidRPr="00D875A4">
              <w:rPr>
                <w:b/>
                <w:bCs/>
                <w:lang w:val="en-US"/>
              </w:rPr>
              <w:t>EPS</w:t>
            </w:r>
          </w:p>
        </w:tc>
      </w:tr>
      <w:tr w:rsidR="00C969FE" w:rsidRPr="00D875A4" w14:paraId="764D7B50" w14:textId="77777777" w:rsidTr="005E0CDC">
        <w:tc>
          <w:tcPr>
            <w:tcW w:w="1555" w:type="dxa"/>
            <w:vAlign w:val="center"/>
            <w:hideMark/>
          </w:tcPr>
          <w:p w14:paraId="3E903550" w14:textId="63C200BB" w:rsidR="00C969FE" w:rsidRPr="00D875A4" w:rsidRDefault="00C969FE" w:rsidP="00C969FE">
            <w:pPr>
              <w:jc w:val="left"/>
              <w:rPr>
                <w:lang w:val="en-US"/>
              </w:rPr>
            </w:pPr>
            <w:r w:rsidRPr="00D875A4">
              <w:rPr>
                <w:lang w:val="en-US"/>
              </w:rPr>
              <w:t>Leverage</w:t>
            </w:r>
            <w:r w:rsidR="005E0CDC" w:rsidRPr="00D875A4">
              <w:rPr>
                <w:lang w:val="en-US"/>
              </w:rPr>
              <w:br/>
            </w:r>
            <w:r w:rsidRPr="00D875A4">
              <w:rPr>
                <w:lang w:val="en-US"/>
              </w:rPr>
              <w:t>(LEV1)</w:t>
            </w:r>
          </w:p>
        </w:tc>
        <w:tc>
          <w:tcPr>
            <w:tcW w:w="987" w:type="dxa"/>
            <w:vAlign w:val="center"/>
            <w:hideMark/>
          </w:tcPr>
          <w:p w14:paraId="3D5A17FA" w14:textId="77777777" w:rsidR="00C969FE" w:rsidRPr="00D875A4" w:rsidRDefault="00C969FE" w:rsidP="005E0CDC">
            <w:pPr>
              <w:jc w:val="right"/>
              <w:rPr>
                <w:lang w:val="en-US"/>
              </w:rPr>
            </w:pPr>
            <w:r w:rsidRPr="00D875A4">
              <w:rPr>
                <w:lang w:val="en-US"/>
              </w:rPr>
              <w:t>0.085** (0.042)</w:t>
            </w:r>
          </w:p>
        </w:tc>
        <w:tc>
          <w:tcPr>
            <w:tcW w:w="987" w:type="dxa"/>
            <w:vAlign w:val="center"/>
            <w:hideMark/>
          </w:tcPr>
          <w:p w14:paraId="4456AA76" w14:textId="77777777" w:rsidR="00C969FE" w:rsidRPr="00D875A4" w:rsidRDefault="00C969FE" w:rsidP="005E0CDC">
            <w:pPr>
              <w:jc w:val="right"/>
              <w:rPr>
                <w:lang w:val="en-US"/>
              </w:rPr>
            </w:pPr>
            <w:r w:rsidRPr="00D875A4">
              <w:rPr>
                <w:lang w:val="en-US"/>
              </w:rPr>
              <w:t>0.128** (0.063)</w:t>
            </w:r>
          </w:p>
        </w:tc>
        <w:tc>
          <w:tcPr>
            <w:tcW w:w="988" w:type="dxa"/>
            <w:vAlign w:val="center"/>
            <w:hideMark/>
          </w:tcPr>
          <w:p w14:paraId="4BD64623" w14:textId="77777777" w:rsidR="00C969FE" w:rsidRPr="00D875A4" w:rsidRDefault="00C969FE" w:rsidP="005E0CDC">
            <w:pPr>
              <w:jc w:val="right"/>
              <w:rPr>
                <w:lang w:val="en-US"/>
              </w:rPr>
            </w:pPr>
            <w:r w:rsidRPr="00D875A4">
              <w:rPr>
                <w:lang w:val="en-US"/>
              </w:rPr>
              <w:t>0.189** (0.089)</w:t>
            </w:r>
          </w:p>
        </w:tc>
      </w:tr>
      <w:tr w:rsidR="00C969FE" w:rsidRPr="00D875A4" w14:paraId="688AB180" w14:textId="77777777" w:rsidTr="005E0CDC">
        <w:tc>
          <w:tcPr>
            <w:tcW w:w="1555" w:type="dxa"/>
            <w:vAlign w:val="center"/>
            <w:hideMark/>
          </w:tcPr>
          <w:p w14:paraId="15809AA9" w14:textId="3721C718" w:rsidR="00C969FE" w:rsidRPr="00D875A4" w:rsidRDefault="00C969FE" w:rsidP="00C969FE">
            <w:pPr>
              <w:jc w:val="left"/>
              <w:rPr>
                <w:lang w:val="en-US"/>
              </w:rPr>
            </w:pPr>
            <w:r w:rsidRPr="00D875A4">
              <w:rPr>
                <w:lang w:val="en-US"/>
              </w:rPr>
              <w:t>Leverage</w:t>
            </w:r>
            <w:r w:rsidRPr="00D875A4">
              <w:rPr>
                <w:vertAlign w:val="superscript"/>
                <w:lang w:val="en-US"/>
              </w:rPr>
              <w:t>2</w:t>
            </w:r>
          </w:p>
        </w:tc>
        <w:tc>
          <w:tcPr>
            <w:tcW w:w="987" w:type="dxa"/>
            <w:vAlign w:val="center"/>
            <w:hideMark/>
          </w:tcPr>
          <w:p w14:paraId="01B9FCC5" w14:textId="14318E51" w:rsidR="00C969FE" w:rsidRPr="00D875A4" w:rsidRDefault="00C969FE" w:rsidP="005E0CDC">
            <w:pPr>
              <w:jc w:val="right"/>
              <w:rPr>
                <w:lang w:val="en-US"/>
              </w:rPr>
            </w:pPr>
            <w:r w:rsidRPr="00D875A4">
              <w:rPr>
                <w:lang w:val="en-US"/>
              </w:rPr>
              <w:t>-0.018</w:t>
            </w:r>
            <w:r w:rsidR="005E0CDC" w:rsidRPr="00D875A4">
              <w:rPr>
                <w:lang w:val="en-US"/>
              </w:rPr>
              <w:br/>
              <w:t>***</w:t>
            </w:r>
            <w:r w:rsidRPr="00D875A4">
              <w:rPr>
                <w:lang w:val="en-US"/>
              </w:rPr>
              <w:t xml:space="preserve"> (0.006)</w:t>
            </w:r>
          </w:p>
        </w:tc>
        <w:tc>
          <w:tcPr>
            <w:tcW w:w="987" w:type="dxa"/>
            <w:vAlign w:val="center"/>
            <w:hideMark/>
          </w:tcPr>
          <w:p w14:paraId="5722CDF5" w14:textId="06B78015" w:rsidR="00C969FE" w:rsidRPr="00D875A4" w:rsidRDefault="00C969FE" w:rsidP="005E0CDC">
            <w:pPr>
              <w:jc w:val="right"/>
              <w:rPr>
                <w:lang w:val="en-US"/>
              </w:rPr>
            </w:pPr>
            <w:r w:rsidRPr="00D875A4">
              <w:rPr>
                <w:lang w:val="en-US"/>
              </w:rPr>
              <w:t>-0.027</w:t>
            </w:r>
            <w:r w:rsidR="005E0CDC" w:rsidRPr="00D875A4">
              <w:rPr>
                <w:lang w:val="en-US"/>
              </w:rPr>
              <w:br/>
              <w:t>***</w:t>
            </w:r>
            <w:r w:rsidRPr="00D875A4">
              <w:rPr>
                <w:lang w:val="en-US"/>
              </w:rPr>
              <w:t xml:space="preserve"> (0.009)</w:t>
            </w:r>
          </w:p>
        </w:tc>
        <w:tc>
          <w:tcPr>
            <w:tcW w:w="988" w:type="dxa"/>
            <w:vAlign w:val="center"/>
            <w:hideMark/>
          </w:tcPr>
          <w:p w14:paraId="6D441947" w14:textId="0C11B629" w:rsidR="00C969FE" w:rsidRPr="00D875A4" w:rsidRDefault="00C969FE" w:rsidP="005E0CDC">
            <w:pPr>
              <w:jc w:val="right"/>
              <w:rPr>
                <w:lang w:val="en-US"/>
              </w:rPr>
            </w:pPr>
            <w:r w:rsidRPr="00D875A4">
              <w:rPr>
                <w:lang w:val="en-US"/>
              </w:rPr>
              <w:t>-0.039</w:t>
            </w:r>
            <w:r w:rsidR="005E0CDC" w:rsidRPr="00D875A4">
              <w:rPr>
                <w:lang w:val="en-US"/>
              </w:rPr>
              <w:br/>
              <w:t>***</w:t>
            </w:r>
            <w:r w:rsidRPr="00D875A4">
              <w:rPr>
                <w:lang w:val="en-US"/>
              </w:rPr>
              <w:t xml:space="preserve"> (0.013)</w:t>
            </w:r>
          </w:p>
        </w:tc>
      </w:tr>
      <w:tr w:rsidR="00C969FE" w:rsidRPr="00D875A4" w14:paraId="40A531CE" w14:textId="77777777" w:rsidTr="005E0CDC">
        <w:tc>
          <w:tcPr>
            <w:tcW w:w="1555" w:type="dxa"/>
            <w:vAlign w:val="center"/>
            <w:hideMark/>
          </w:tcPr>
          <w:p w14:paraId="2BC86D51" w14:textId="77777777" w:rsidR="00C969FE" w:rsidRPr="00D875A4" w:rsidRDefault="00C969FE" w:rsidP="00C969FE">
            <w:pPr>
              <w:jc w:val="left"/>
              <w:rPr>
                <w:lang w:val="en-US"/>
              </w:rPr>
            </w:pPr>
            <w:r w:rsidRPr="00D875A4">
              <w:rPr>
                <w:lang w:val="en-US"/>
              </w:rPr>
              <w:t>Optimal Threshold</w:t>
            </w:r>
          </w:p>
        </w:tc>
        <w:tc>
          <w:tcPr>
            <w:tcW w:w="987" w:type="dxa"/>
            <w:vAlign w:val="center"/>
            <w:hideMark/>
          </w:tcPr>
          <w:p w14:paraId="431692E5" w14:textId="77777777" w:rsidR="00C969FE" w:rsidRPr="00D875A4" w:rsidRDefault="00C969FE" w:rsidP="005E0CDC">
            <w:pPr>
              <w:jc w:val="right"/>
              <w:rPr>
                <w:lang w:val="en-US"/>
              </w:rPr>
            </w:pPr>
            <w:r w:rsidRPr="00D875A4">
              <w:rPr>
                <w:lang w:val="en-US"/>
              </w:rPr>
              <w:t>~0.42</w:t>
            </w:r>
          </w:p>
        </w:tc>
        <w:tc>
          <w:tcPr>
            <w:tcW w:w="987" w:type="dxa"/>
            <w:vAlign w:val="center"/>
            <w:hideMark/>
          </w:tcPr>
          <w:p w14:paraId="540E2632" w14:textId="77777777" w:rsidR="00C969FE" w:rsidRPr="00D875A4" w:rsidRDefault="00C969FE" w:rsidP="005E0CDC">
            <w:pPr>
              <w:jc w:val="right"/>
              <w:rPr>
                <w:lang w:val="en-US"/>
              </w:rPr>
            </w:pPr>
            <w:r w:rsidRPr="00D875A4">
              <w:rPr>
                <w:lang w:val="en-US"/>
              </w:rPr>
              <w:t>~0.41</w:t>
            </w:r>
          </w:p>
        </w:tc>
        <w:tc>
          <w:tcPr>
            <w:tcW w:w="988" w:type="dxa"/>
            <w:vAlign w:val="center"/>
            <w:hideMark/>
          </w:tcPr>
          <w:p w14:paraId="3DDC1F2F" w14:textId="77777777" w:rsidR="00C969FE" w:rsidRPr="00D875A4" w:rsidRDefault="00C969FE" w:rsidP="005E0CDC">
            <w:pPr>
              <w:jc w:val="right"/>
              <w:rPr>
                <w:lang w:val="en-US"/>
              </w:rPr>
            </w:pPr>
            <w:r w:rsidRPr="00D875A4">
              <w:rPr>
                <w:lang w:val="en-US"/>
              </w:rPr>
              <w:t>~0.43</w:t>
            </w:r>
          </w:p>
        </w:tc>
      </w:tr>
      <w:tr w:rsidR="00C969FE" w:rsidRPr="00D875A4" w14:paraId="5F584049" w14:textId="77777777" w:rsidTr="005E0CDC">
        <w:tc>
          <w:tcPr>
            <w:tcW w:w="1555" w:type="dxa"/>
            <w:vAlign w:val="center"/>
            <w:hideMark/>
          </w:tcPr>
          <w:p w14:paraId="1C747C9C" w14:textId="77777777" w:rsidR="00C969FE" w:rsidRPr="00D875A4" w:rsidRDefault="00C969FE" w:rsidP="00C969FE">
            <w:pPr>
              <w:jc w:val="left"/>
              <w:rPr>
                <w:lang w:val="en-US"/>
              </w:rPr>
            </w:pPr>
            <w:r w:rsidRPr="00D875A4">
              <w:rPr>
                <w:lang w:val="en-US"/>
              </w:rPr>
              <w:t>Lagged Performance</w:t>
            </w:r>
          </w:p>
        </w:tc>
        <w:tc>
          <w:tcPr>
            <w:tcW w:w="987" w:type="dxa"/>
            <w:vAlign w:val="center"/>
            <w:hideMark/>
          </w:tcPr>
          <w:p w14:paraId="3BDD3F2B" w14:textId="16F2AD89" w:rsidR="00C969FE" w:rsidRPr="00D875A4" w:rsidRDefault="00C969FE" w:rsidP="005E0CDC">
            <w:pPr>
              <w:jc w:val="right"/>
              <w:rPr>
                <w:lang w:val="en-US"/>
              </w:rPr>
            </w:pPr>
            <w:r w:rsidRPr="00D875A4">
              <w:rPr>
                <w:lang w:val="en-US"/>
              </w:rPr>
              <w:t>0.309</w:t>
            </w:r>
            <w:r w:rsidR="005E0CDC" w:rsidRPr="00D875A4">
              <w:rPr>
                <w:lang w:val="en-US"/>
              </w:rPr>
              <w:br/>
              <w:t>***</w:t>
            </w:r>
            <w:r w:rsidRPr="00D875A4">
              <w:rPr>
                <w:lang w:val="en-US"/>
              </w:rPr>
              <w:t xml:space="preserve"> (0.055)</w:t>
            </w:r>
          </w:p>
        </w:tc>
        <w:tc>
          <w:tcPr>
            <w:tcW w:w="987" w:type="dxa"/>
            <w:vAlign w:val="center"/>
            <w:hideMark/>
          </w:tcPr>
          <w:p w14:paraId="31CD2DF0" w14:textId="29388383" w:rsidR="00C969FE" w:rsidRPr="00D875A4" w:rsidRDefault="00C969FE" w:rsidP="005E0CDC">
            <w:pPr>
              <w:jc w:val="right"/>
              <w:rPr>
                <w:lang w:val="en-US"/>
              </w:rPr>
            </w:pPr>
            <w:r w:rsidRPr="00D875A4">
              <w:rPr>
                <w:lang w:val="en-US"/>
              </w:rPr>
              <w:t>0.285</w:t>
            </w:r>
            <w:r w:rsidR="005E0CDC" w:rsidRPr="00D875A4">
              <w:rPr>
                <w:lang w:val="en-US"/>
              </w:rPr>
              <w:br/>
              <w:t>***</w:t>
            </w:r>
            <w:r w:rsidRPr="00D875A4">
              <w:rPr>
                <w:lang w:val="en-US"/>
              </w:rPr>
              <w:t xml:space="preserve"> (0.052)</w:t>
            </w:r>
          </w:p>
        </w:tc>
        <w:tc>
          <w:tcPr>
            <w:tcW w:w="988" w:type="dxa"/>
            <w:vAlign w:val="center"/>
            <w:hideMark/>
          </w:tcPr>
          <w:p w14:paraId="27681772" w14:textId="1A8F9FA7" w:rsidR="00C969FE" w:rsidRPr="00D875A4" w:rsidRDefault="00C969FE" w:rsidP="005E0CDC">
            <w:pPr>
              <w:jc w:val="right"/>
              <w:rPr>
                <w:lang w:val="en-US"/>
              </w:rPr>
            </w:pPr>
            <w:r w:rsidRPr="00D875A4">
              <w:rPr>
                <w:lang w:val="en-US"/>
              </w:rPr>
              <w:t>0.331</w:t>
            </w:r>
            <w:r w:rsidR="005E0CDC" w:rsidRPr="00D875A4">
              <w:rPr>
                <w:lang w:val="en-US"/>
              </w:rPr>
              <w:br/>
              <w:t>***</w:t>
            </w:r>
            <w:r w:rsidRPr="00D875A4">
              <w:rPr>
                <w:lang w:val="en-US"/>
              </w:rPr>
              <w:t xml:space="preserve"> (0.060)</w:t>
            </w:r>
          </w:p>
        </w:tc>
      </w:tr>
      <w:tr w:rsidR="00C969FE" w:rsidRPr="00D875A4" w14:paraId="54ADAC9F" w14:textId="77777777" w:rsidTr="005E0CDC">
        <w:tc>
          <w:tcPr>
            <w:tcW w:w="1555" w:type="dxa"/>
            <w:vAlign w:val="center"/>
            <w:hideMark/>
          </w:tcPr>
          <w:p w14:paraId="57A7227C" w14:textId="77777777" w:rsidR="00C969FE" w:rsidRPr="00D875A4" w:rsidRDefault="00C969FE" w:rsidP="00C969FE">
            <w:pPr>
              <w:jc w:val="left"/>
              <w:rPr>
                <w:lang w:val="en-US"/>
              </w:rPr>
            </w:pPr>
            <w:r w:rsidRPr="00D875A4">
              <w:rPr>
                <w:lang w:val="en-US"/>
              </w:rPr>
              <w:t>Size</w:t>
            </w:r>
          </w:p>
        </w:tc>
        <w:tc>
          <w:tcPr>
            <w:tcW w:w="987" w:type="dxa"/>
            <w:vAlign w:val="center"/>
            <w:hideMark/>
          </w:tcPr>
          <w:p w14:paraId="41E2D373" w14:textId="19441B2E" w:rsidR="00C969FE" w:rsidRPr="00D875A4" w:rsidRDefault="00C969FE" w:rsidP="005E0CDC">
            <w:pPr>
              <w:jc w:val="right"/>
              <w:rPr>
                <w:lang w:val="en-US"/>
              </w:rPr>
            </w:pPr>
            <w:r w:rsidRPr="00D875A4">
              <w:rPr>
                <w:lang w:val="en-US"/>
              </w:rPr>
              <w:t>0.020</w:t>
            </w:r>
            <w:r w:rsidR="005E0CDC" w:rsidRPr="00D875A4">
              <w:rPr>
                <w:lang w:val="en-US"/>
              </w:rPr>
              <w:br/>
              <w:t>***</w:t>
            </w:r>
            <w:r w:rsidRPr="00D875A4">
              <w:rPr>
                <w:lang w:val="en-US"/>
              </w:rPr>
              <w:t xml:space="preserve"> (0.006)</w:t>
            </w:r>
          </w:p>
        </w:tc>
        <w:tc>
          <w:tcPr>
            <w:tcW w:w="987" w:type="dxa"/>
            <w:vAlign w:val="center"/>
            <w:hideMark/>
          </w:tcPr>
          <w:p w14:paraId="35D6CBE7" w14:textId="1F0798A5" w:rsidR="00C969FE" w:rsidRPr="00D875A4" w:rsidRDefault="00C969FE" w:rsidP="005E0CDC">
            <w:pPr>
              <w:jc w:val="right"/>
              <w:rPr>
                <w:lang w:val="en-US"/>
              </w:rPr>
            </w:pPr>
            <w:r w:rsidRPr="00D875A4">
              <w:rPr>
                <w:lang w:val="en-US"/>
              </w:rPr>
              <w:t>0.031</w:t>
            </w:r>
            <w:r w:rsidR="005E0CDC" w:rsidRPr="00D875A4">
              <w:rPr>
                <w:lang w:val="en-US"/>
              </w:rPr>
              <w:br/>
              <w:t>***</w:t>
            </w:r>
            <w:r w:rsidRPr="00D875A4">
              <w:rPr>
                <w:lang w:val="en-US"/>
              </w:rPr>
              <w:t xml:space="preserve"> (0.009)</w:t>
            </w:r>
          </w:p>
        </w:tc>
        <w:tc>
          <w:tcPr>
            <w:tcW w:w="988" w:type="dxa"/>
            <w:vAlign w:val="center"/>
            <w:hideMark/>
          </w:tcPr>
          <w:p w14:paraId="0C5930B1" w14:textId="66F7C132" w:rsidR="00C969FE" w:rsidRPr="00D875A4" w:rsidRDefault="00C969FE" w:rsidP="005E0CDC">
            <w:pPr>
              <w:jc w:val="right"/>
              <w:rPr>
                <w:lang w:val="en-US"/>
              </w:rPr>
            </w:pPr>
            <w:r w:rsidRPr="00D875A4">
              <w:rPr>
                <w:lang w:val="en-US"/>
              </w:rPr>
              <w:t>0.044</w:t>
            </w:r>
            <w:r w:rsidR="005E0CDC" w:rsidRPr="00D875A4">
              <w:rPr>
                <w:lang w:val="en-US"/>
              </w:rPr>
              <w:br/>
              <w:t>***</w:t>
            </w:r>
            <w:r w:rsidRPr="00D875A4">
              <w:rPr>
                <w:lang w:val="en-US"/>
              </w:rPr>
              <w:t xml:space="preserve"> (0.012)</w:t>
            </w:r>
          </w:p>
        </w:tc>
      </w:tr>
      <w:tr w:rsidR="00C969FE" w:rsidRPr="00D875A4" w14:paraId="7645F46B" w14:textId="77777777" w:rsidTr="005E0CDC">
        <w:tc>
          <w:tcPr>
            <w:tcW w:w="1555" w:type="dxa"/>
            <w:vAlign w:val="center"/>
            <w:hideMark/>
          </w:tcPr>
          <w:p w14:paraId="25C4440D" w14:textId="77777777" w:rsidR="00C969FE" w:rsidRPr="00D875A4" w:rsidRDefault="00C969FE" w:rsidP="00C969FE">
            <w:pPr>
              <w:jc w:val="left"/>
              <w:rPr>
                <w:lang w:val="en-US"/>
              </w:rPr>
            </w:pPr>
            <w:r w:rsidRPr="00D875A4">
              <w:rPr>
                <w:lang w:val="en-US"/>
              </w:rPr>
              <w:t>Growth</w:t>
            </w:r>
          </w:p>
        </w:tc>
        <w:tc>
          <w:tcPr>
            <w:tcW w:w="987" w:type="dxa"/>
            <w:vAlign w:val="center"/>
            <w:hideMark/>
          </w:tcPr>
          <w:p w14:paraId="75737CF6" w14:textId="39C92A60" w:rsidR="00C969FE" w:rsidRPr="00D875A4" w:rsidRDefault="00C969FE" w:rsidP="005E0CDC">
            <w:pPr>
              <w:jc w:val="right"/>
              <w:rPr>
                <w:lang w:val="en-US"/>
              </w:rPr>
            </w:pPr>
            <w:r w:rsidRPr="00D875A4">
              <w:rPr>
                <w:lang w:val="en-US"/>
              </w:rPr>
              <w:t>0.044</w:t>
            </w:r>
            <w:r w:rsidR="005E0CDC" w:rsidRPr="00D875A4">
              <w:rPr>
                <w:lang w:val="en-US"/>
              </w:rPr>
              <w:br/>
              <w:t>***</w:t>
            </w:r>
            <w:r w:rsidRPr="00D875A4">
              <w:rPr>
                <w:lang w:val="en-US"/>
              </w:rPr>
              <w:t xml:space="preserve"> (0.012)</w:t>
            </w:r>
          </w:p>
        </w:tc>
        <w:tc>
          <w:tcPr>
            <w:tcW w:w="987" w:type="dxa"/>
            <w:vAlign w:val="center"/>
            <w:hideMark/>
          </w:tcPr>
          <w:p w14:paraId="6A8DEC31" w14:textId="385EDEDA" w:rsidR="00C969FE" w:rsidRPr="00D875A4" w:rsidRDefault="00C969FE" w:rsidP="005E0CDC">
            <w:pPr>
              <w:jc w:val="right"/>
              <w:rPr>
                <w:lang w:val="en-US"/>
              </w:rPr>
            </w:pPr>
            <w:r w:rsidRPr="00D875A4">
              <w:rPr>
                <w:lang w:val="en-US"/>
              </w:rPr>
              <w:t>0.066</w:t>
            </w:r>
            <w:r w:rsidR="005E0CDC" w:rsidRPr="00D875A4">
              <w:rPr>
                <w:lang w:val="en-US"/>
              </w:rPr>
              <w:br/>
              <w:t>***</w:t>
            </w:r>
            <w:r w:rsidRPr="00D875A4">
              <w:rPr>
                <w:lang w:val="en-US"/>
              </w:rPr>
              <w:t xml:space="preserve"> (0.018)</w:t>
            </w:r>
          </w:p>
        </w:tc>
        <w:tc>
          <w:tcPr>
            <w:tcW w:w="988" w:type="dxa"/>
            <w:vAlign w:val="center"/>
            <w:hideMark/>
          </w:tcPr>
          <w:p w14:paraId="61AAF355" w14:textId="2856655C" w:rsidR="00C969FE" w:rsidRPr="00D875A4" w:rsidRDefault="00C969FE" w:rsidP="005E0CDC">
            <w:pPr>
              <w:jc w:val="right"/>
              <w:rPr>
                <w:lang w:val="en-US"/>
              </w:rPr>
            </w:pPr>
            <w:r w:rsidRPr="00D875A4">
              <w:rPr>
                <w:lang w:val="en-US"/>
              </w:rPr>
              <w:t>0.088</w:t>
            </w:r>
            <w:r w:rsidR="005E0CDC" w:rsidRPr="00D875A4">
              <w:rPr>
                <w:lang w:val="en-US"/>
              </w:rPr>
              <w:br/>
              <w:t>***</w:t>
            </w:r>
            <w:r w:rsidRPr="00D875A4">
              <w:rPr>
                <w:lang w:val="en-US"/>
              </w:rPr>
              <w:t xml:space="preserve"> (0.024)</w:t>
            </w:r>
          </w:p>
        </w:tc>
      </w:tr>
      <w:tr w:rsidR="00C969FE" w:rsidRPr="00D875A4" w14:paraId="38894318" w14:textId="77777777" w:rsidTr="005E0CDC">
        <w:tc>
          <w:tcPr>
            <w:tcW w:w="1555" w:type="dxa"/>
            <w:vAlign w:val="center"/>
            <w:hideMark/>
          </w:tcPr>
          <w:p w14:paraId="74BEA654" w14:textId="77777777" w:rsidR="00C969FE" w:rsidRPr="00D875A4" w:rsidRDefault="00C969FE" w:rsidP="00C969FE">
            <w:pPr>
              <w:jc w:val="left"/>
              <w:rPr>
                <w:lang w:val="en-US"/>
              </w:rPr>
            </w:pPr>
            <w:r w:rsidRPr="00D875A4">
              <w:rPr>
                <w:lang w:val="en-US"/>
              </w:rPr>
              <w:t>Tangibility</w:t>
            </w:r>
          </w:p>
        </w:tc>
        <w:tc>
          <w:tcPr>
            <w:tcW w:w="987" w:type="dxa"/>
            <w:vAlign w:val="center"/>
            <w:hideMark/>
          </w:tcPr>
          <w:p w14:paraId="50FFCF4A" w14:textId="77777777" w:rsidR="00C969FE" w:rsidRPr="00D875A4" w:rsidRDefault="00C969FE" w:rsidP="005E0CDC">
            <w:pPr>
              <w:jc w:val="right"/>
              <w:rPr>
                <w:lang w:val="en-US"/>
              </w:rPr>
            </w:pPr>
            <w:r w:rsidRPr="00D875A4">
              <w:rPr>
                <w:lang w:val="en-US"/>
              </w:rPr>
              <w:t>0.055** (0.023)</w:t>
            </w:r>
          </w:p>
        </w:tc>
        <w:tc>
          <w:tcPr>
            <w:tcW w:w="987" w:type="dxa"/>
            <w:vAlign w:val="center"/>
            <w:hideMark/>
          </w:tcPr>
          <w:p w14:paraId="00C01D95" w14:textId="77777777" w:rsidR="00C969FE" w:rsidRPr="00D875A4" w:rsidRDefault="00C969FE" w:rsidP="005E0CDC">
            <w:pPr>
              <w:jc w:val="right"/>
              <w:rPr>
                <w:lang w:val="en-US"/>
              </w:rPr>
            </w:pPr>
            <w:r w:rsidRPr="00D875A4">
              <w:rPr>
                <w:lang w:val="en-US"/>
              </w:rPr>
              <w:t>0.077** (0.032)</w:t>
            </w:r>
          </w:p>
        </w:tc>
        <w:tc>
          <w:tcPr>
            <w:tcW w:w="988" w:type="dxa"/>
            <w:vAlign w:val="center"/>
            <w:hideMark/>
          </w:tcPr>
          <w:p w14:paraId="653B8C7B" w14:textId="77777777" w:rsidR="00C969FE" w:rsidRPr="00D875A4" w:rsidRDefault="00C969FE" w:rsidP="005E0CDC">
            <w:pPr>
              <w:jc w:val="right"/>
              <w:rPr>
                <w:lang w:val="en-US"/>
              </w:rPr>
            </w:pPr>
            <w:r w:rsidRPr="00D875A4">
              <w:rPr>
                <w:lang w:val="en-US"/>
              </w:rPr>
              <w:t>0.111** (0.045)</w:t>
            </w:r>
          </w:p>
        </w:tc>
      </w:tr>
      <w:tr w:rsidR="00C969FE" w:rsidRPr="00D875A4" w14:paraId="1D548659" w14:textId="77777777" w:rsidTr="005E0CDC">
        <w:tc>
          <w:tcPr>
            <w:tcW w:w="1555" w:type="dxa"/>
            <w:vAlign w:val="center"/>
            <w:hideMark/>
          </w:tcPr>
          <w:p w14:paraId="04DFD10E" w14:textId="77777777" w:rsidR="00C969FE" w:rsidRPr="00D875A4" w:rsidRDefault="00C969FE" w:rsidP="00C969FE">
            <w:pPr>
              <w:jc w:val="left"/>
              <w:rPr>
                <w:lang w:val="en-US"/>
              </w:rPr>
            </w:pPr>
            <w:r w:rsidRPr="00D875A4">
              <w:rPr>
                <w:lang w:val="en-US"/>
              </w:rPr>
              <w:t>Liquidity</w:t>
            </w:r>
          </w:p>
        </w:tc>
        <w:tc>
          <w:tcPr>
            <w:tcW w:w="987" w:type="dxa"/>
            <w:vAlign w:val="center"/>
            <w:hideMark/>
          </w:tcPr>
          <w:p w14:paraId="1963B7B1" w14:textId="35FDAFCA" w:rsidR="00C969FE" w:rsidRPr="00D875A4" w:rsidRDefault="00C969FE" w:rsidP="005E0CDC">
            <w:pPr>
              <w:jc w:val="right"/>
              <w:rPr>
                <w:lang w:val="en-US"/>
              </w:rPr>
            </w:pPr>
            <w:r w:rsidRPr="00D875A4">
              <w:rPr>
                <w:lang w:val="en-US"/>
              </w:rPr>
              <w:t>0.024</w:t>
            </w:r>
            <w:r w:rsidR="005E0CDC" w:rsidRPr="00D875A4">
              <w:rPr>
                <w:lang w:val="en-US"/>
              </w:rPr>
              <w:br/>
              <w:t>***</w:t>
            </w:r>
            <w:r w:rsidRPr="00D875A4">
              <w:rPr>
                <w:lang w:val="en-US"/>
              </w:rPr>
              <w:t xml:space="preserve"> (0.007)</w:t>
            </w:r>
          </w:p>
        </w:tc>
        <w:tc>
          <w:tcPr>
            <w:tcW w:w="987" w:type="dxa"/>
            <w:vAlign w:val="center"/>
            <w:hideMark/>
          </w:tcPr>
          <w:p w14:paraId="218ABE38" w14:textId="2045002C" w:rsidR="00C969FE" w:rsidRPr="00D875A4" w:rsidRDefault="00C969FE" w:rsidP="005E0CDC">
            <w:pPr>
              <w:jc w:val="right"/>
              <w:rPr>
                <w:lang w:val="en-US"/>
              </w:rPr>
            </w:pPr>
            <w:r w:rsidRPr="00D875A4">
              <w:rPr>
                <w:lang w:val="en-US"/>
              </w:rPr>
              <w:t>0.037</w:t>
            </w:r>
            <w:r w:rsidR="005E0CDC" w:rsidRPr="00D875A4">
              <w:rPr>
                <w:lang w:val="en-US"/>
              </w:rPr>
              <w:br/>
              <w:t>***</w:t>
            </w:r>
            <w:r w:rsidRPr="00D875A4">
              <w:rPr>
                <w:lang w:val="en-US"/>
              </w:rPr>
              <w:t xml:space="preserve"> (0.011)</w:t>
            </w:r>
          </w:p>
        </w:tc>
        <w:tc>
          <w:tcPr>
            <w:tcW w:w="988" w:type="dxa"/>
            <w:vAlign w:val="center"/>
            <w:hideMark/>
          </w:tcPr>
          <w:p w14:paraId="62B037AB" w14:textId="1A384873" w:rsidR="00C969FE" w:rsidRPr="00D875A4" w:rsidRDefault="00C969FE" w:rsidP="005E0CDC">
            <w:pPr>
              <w:jc w:val="right"/>
              <w:rPr>
                <w:lang w:val="en-US"/>
              </w:rPr>
            </w:pPr>
            <w:r w:rsidRPr="00D875A4">
              <w:rPr>
                <w:lang w:val="en-US"/>
              </w:rPr>
              <w:t>0.055</w:t>
            </w:r>
            <w:r w:rsidR="005E0CDC" w:rsidRPr="00D875A4">
              <w:rPr>
                <w:lang w:val="en-US"/>
              </w:rPr>
              <w:br/>
              <w:t>***</w:t>
            </w:r>
            <w:r w:rsidRPr="00D875A4">
              <w:rPr>
                <w:lang w:val="en-US"/>
              </w:rPr>
              <w:t xml:space="preserve"> (0.015)</w:t>
            </w:r>
          </w:p>
        </w:tc>
      </w:tr>
      <w:tr w:rsidR="00C969FE" w:rsidRPr="00D875A4" w14:paraId="1C51870B" w14:textId="77777777" w:rsidTr="005E0CDC">
        <w:tc>
          <w:tcPr>
            <w:tcW w:w="1555" w:type="dxa"/>
            <w:vAlign w:val="center"/>
            <w:hideMark/>
          </w:tcPr>
          <w:p w14:paraId="4EB2B509" w14:textId="77777777" w:rsidR="00C969FE" w:rsidRPr="00D875A4" w:rsidRDefault="00C969FE" w:rsidP="00C969FE">
            <w:pPr>
              <w:jc w:val="left"/>
              <w:rPr>
                <w:lang w:val="en-US"/>
              </w:rPr>
            </w:pPr>
            <w:r w:rsidRPr="00D875A4">
              <w:rPr>
                <w:lang w:val="en-US"/>
              </w:rPr>
              <w:t>Age</w:t>
            </w:r>
          </w:p>
        </w:tc>
        <w:tc>
          <w:tcPr>
            <w:tcW w:w="987" w:type="dxa"/>
            <w:vAlign w:val="center"/>
            <w:hideMark/>
          </w:tcPr>
          <w:p w14:paraId="38D7F6A8" w14:textId="77777777" w:rsidR="00C969FE" w:rsidRPr="00D875A4" w:rsidRDefault="00C969FE" w:rsidP="005E0CDC">
            <w:pPr>
              <w:jc w:val="right"/>
              <w:rPr>
                <w:lang w:val="en-US"/>
              </w:rPr>
            </w:pPr>
            <w:r w:rsidRPr="00D875A4">
              <w:rPr>
                <w:lang w:val="en-US"/>
              </w:rPr>
              <w:t>-0.033** (0.014)</w:t>
            </w:r>
          </w:p>
        </w:tc>
        <w:tc>
          <w:tcPr>
            <w:tcW w:w="987" w:type="dxa"/>
            <w:vAlign w:val="center"/>
            <w:hideMark/>
          </w:tcPr>
          <w:p w14:paraId="501E6372" w14:textId="77777777" w:rsidR="00C969FE" w:rsidRPr="00D875A4" w:rsidRDefault="00C969FE" w:rsidP="005E0CDC">
            <w:pPr>
              <w:jc w:val="right"/>
              <w:rPr>
                <w:lang w:val="en-US"/>
              </w:rPr>
            </w:pPr>
            <w:r w:rsidRPr="00D875A4">
              <w:rPr>
                <w:lang w:val="en-US"/>
              </w:rPr>
              <w:t>-0.050** (0.021)</w:t>
            </w:r>
          </w:p>
        </w:tc>
        <w:tc>
          <w:tcPr>
            <w:tcW w:w="988" w:type="dxa"/>
            <w:vAlign w:val="center"/>
            <w:hideMark/>
          </w:tcPr>
          <w:p w14:paraId="38D9F324" w14:textId="77777777" w:rsidR="00C969FE" w:rsidRPr="00D875A4" w:rsidRDefault="00C969FE" w:rsidP="005E0CDC">
            <w:pPr>
              <w:jc w:val="right"/>
              <w:rPr>
                <w:lang w:val="en-US"/>
              </w:rPr>
            </w:pPr>
            <w:r w:rsidRPr="00D875A4">
              <w:rPr>
                <w:lang w:val="en-US"/>
              </w:rPr>
              <w:t>-0.071** (0.029)</w:t>
            </w:r>
          </w:p>
        </w:tc>
      </w:tr>
      <w:tr w:rsidR="00C969FE" w:rsidRPr="00D875A4" w14:paraId="61E56F28" w14:textId="77777777" w:rsidTr="005E0CDC">
        <w:tc>
          <w:tcPr>
            <w:tcW w:w="1555" w:type="dxa"/>
            <w:vAlign w:val="center"/>
            <w:hideMark/>
          </w:tcPr>
          <w:p w14:paraId="7EB67819" w14:textId="77777777" w:rsidR="00C969FE" w:rsidRPr="00D875A4" w:rsidRDefault="00C969FE" w:rsidP="00C969FE">
            <w:pPr>
              <w:jc w:val="left"/>
              <w:rPr>
                <w:lang w:val="en-US"/>
              </w:rPr>
            </w:pPr>
            <w:r w:rsidRPr="00D875A4">
              <w:rPr>
                <w:lang w:val="en-US"/>
              </w:rPr>
              <w:t>Firm/Year FE</w:t>
            </w:r>
          </w:p>
        </w:tc>
        <w:tc>
          <w:tcPr>
            <w:tcW w:w="987" w:type="dxa"/>
            <w:vAlign w:val="center"/>
            <w:hideMark/>
          </w:tcPr>
          <w:p w14:paraId="392A65BF" w14:textId="77777777" w:rsidR="00C969FE" w:rsidRPr="00D875A4" w:rsidRDefault="00C969FE" w:rsidP="005E0CDC">
            <w:pPr>
              <w:jc w:val="right"/>
              <w:rPr>
                <w:lang w:val="en-US"/>
              </w:rPr>
            </w:pPr>
            <w:r w:rsidRPr="00D875A4">
              <w:rPr>
                <w:lang w:val="en-US"/>
              </w:rPr>
              <w:t>Yes</w:t>
            </w:r>
          </w:p>
        </w:tc>
        <w:tc>
          <w:tcPr>
            <w:tcW w:w="987" w:type="dxa"/>
            <w:vAlign w:val="center"/>
            <w:hideMark/>
          </w:tcPr>
          <w:p w14:paraId="2A8E243C" w14:textId="77777777" w:rsidR="00C969FE" w:rsidRPr="00D875A4" w:rsidRDefault="00C969FE" w:rsidP="005E0CDC">
            <w:pPr>
              <w:jc w:val="right"/>
              <w:rPr>
                <w:lang w:val="en-US"/>
              </w:rPr>
            </w:pPr>
            <w:r w:rsidRPr="00D875A4">
              <w:rPr>
                <w:lang w:val="en-US"/>
              </w:rPr>
              <w:t>Yes</w:t>
            </w:r>
          </w:p>
        </w:tc>
        <w:tc>
          <w:tcPr>
            <w:tcW w:w="988" w:type="dxa"/>
            <w:vAlign w:val="center"/>
            <w:hideMark/>
          </w:tcPr>
          <w:p w14:paraId="2A10CF17" w14:textId="77777777" w:rsidR="00C969FE" w:rsidRPr="00D875A4" w:rsidRDefault="00C969FE" w:rsidP="005E0CDC">
            <w:pPr>
              <w:jc w:val="right"/>
              <w:rPr>
                <w:lang w:val="en-US"/>
              </w:rPr>
            </w:pPr>
            <w:r w:rsidRPr="00D875A4">
              <w:rPr>
                <w:lang w:val="en-US"/>
              </w:rPr>
              <w:t>Yes</w:t>
            </w:r>
          </w:p>
        </w:tc>
      </w:tr>
      <w:tr w:rsidR="00C969FE" w:rsidRPr="00D875A4" w14:paraId="28BB8064" w14:textId="77777777" w:rsidTr="005E0CDC">
        <w:tc>
          <w:tcPr>
            <w:tcW w:w="1555" w:type="dxa"/>
            <w:vAlign w:val="center"/>
            <w:hideMark/>
          </w:tcPr>
          <w:p w14:paraId="39E64E83" w14:textId="77777777" w:rsidR="00C969FE" w:rsidRPr="00D875A4" w:rsidRDefault="00C969FE" w:rsidP="00C969FE">
            <w:pPr>
              <w:jc w:val="left"/>
              <w:rPr>
                <w:lang w:val="en-US"/>
              </w:rPr>
            </w:pPr>
            <w:r w:rsidRPr="00D875A4">
              <w:rPr>
                <w:lang w:val="en-US"/>
              </w:rPr>
              <w:lastRenderedPageBreak/>
              <w:t>AR(1)/AR(2) p</w:t>
            </w:r>
          </w:p>
        </w:tc>
        <w:tc>
          <w:tcPr>
            <w:tcW w:w="987" w:type="dxa"/>
            <w:vAlign w:val="center"/>
            <w:hideMark/>
          </w:tcPr>
          <w:p w14:paraId="535ED087" w14:textId="629887AC" w:rsidR="00C969FE" w:rsidRPr="00D875A4" w:rsidRDefault="00C969FE" w:rsidP="005E0CDC">
            <w:pPr>
              <w:jc w:val="right"/>
              <w:rPr>
                <w:lang w:val="en-US"/>
              </w:rPr>
            </w:pPr>
            <w:r w:rsidRPr="00D875A4">
              <w:rPr>
                <w:lang w:val="en-US"/>
              </w:rPr>
              <w:t>&lt;0.01/</w:t>
            </w:r>
            <w:r w:rsidR="005E0CDC" w:rsidRPr="00D875A4">
              <w:rPr>
                <w:lang w:val="en-US"/>
              </w:rPr>
              <w:br/>
            </w:r>
            <w:r w:rsidRPr="00D875A4">
              <w:rPr>
                <w:lang w:val="en-US"/>
              </w:rPr>
              <w:t>0.16</w:t>
            </w:r>
          </w:p>
        </w:tc>
        <w:tc>
          <w:tcPr>
            <w:tcW w:w="987" w:type="dxa"/>
            <w:vAlign w:val="center"/>
            <w:hideMark/>
          </w:tcPr>
          <w:p w14:paraId="7772BC2E" w14:textId="1099CE65" w:rsidR="00C969FE" w:rsidRPr="00D875A4" w:rsidRDefault="00C969FE" w:rsidP="005E0CDC">
            <w:pPr>
              <w:jc w:val="right"/>
              <w:rPr>
                <w:lang w:val="en-US"/>
              </w:rPr>
            </w:pPr>
            <w:r w:rsidRPr="00D875A4">
              <w:rPr>
                <w:lang w:val="en-US"/>
              </w:rPr>
              <w:t>&lt;0.01/</w:t>
            </w:r>
            <w:r w:rsidR="005E0CDC" w:rsidRPr="00D875A4">
              <w:rPr>
                <w:lang w:val="en-US"/>
              </w:rPr>
              <w:br/>
            </w:r>
            <w:r w:rsidRPr="00D875A4">
              <w:rPr>
                <w:lang w:val="en-US"/>
              </w:rPr>
              <w:t>0.18</w:t>
            </w:r>
          </w:p>
        </w:tc>
        <w:tc>
          <w:tcPr>
            <w:tcW w:w="988" w:type="dxa"/>
            <w:vAlign w:val="center"/>
            <w:hideMark/>
          </w:tcPr>
          <w:p w14:paraId="07AA3B8F" w14:textId="778FA44C" w:rsidR="00C969FE" w:rsidRPr="00D875A4" w:rsidRDefault="00C969FE" w:rsidP="005E0CDC">
            <w:pPr>
              <w:jc w:val="right"/>
              <w:rPr>
                <w:lang w:val="en-US"/>
              </w:rPr>
            </w:pPr>
            <w:r w:rsidRPr="00D875A4">
              <w:rPr>
                <w:lang w:val="en-US"/>
              </w:rPr>
              <w:t>&lt;0.01/</w:t>
            </w:r>
            <w:r w:rsidR="005E0CDC" w:rsidRPr="00D875A4">
              <w:rPr>
                <w:lang w:val="en-US"/>
              </w:rPr>
              <w:br/>
            </w:r>
            <w:r w:rsidRPr="00D875A4">
              <w:rPr>
                <w:lang w:val="en-US"/>
              </w:rPr>
              <w:t>0.15</w:t>
            </w:r>
          </w:p>
        </w:tc>
      </w:tr>
      <w:tr w:rsidR="00C969FE" w:rsidRPr="00D875A4" w14:paraId="22B087AE" w14:textId="77777777" w:rsidTr="005E0CDC">
        <w:tc>
          <w:tcPr>
            <w:tcW w:w="1555" w:type="dxa"/>
            <w:vAlign w:val="center"/>
            <w:hideMark/>
          </w:tcPr>
          <w:p w14:paraId="3C3952F2" w14:textId="77777777" w:rsidR="00C969FE" w:rsidRPr="00D875A4" w:rsidRDefault="00C969FE" w:rsidP="00C969FE">
            <w:pPr>
              <w:jc w:val="left"/>
              <w:rPr>
                <w:lang w:val="en-US"/>
              </w:rPr>
            </w:pPr>
            <w:r w:rsidRPr="00D875A4">
              <w:rPr>
                <w:lang w:val="en-US"/>
              </w:rPr>
              <w:t>Hansen p</w:t>
            </w:r>
          </w:p>
        </w:tc>
        <w:tc>
          <w:tcPr>
            <w:tcW w:w="987" w:type="dxa"/>
            <w:vAlign w:val="center"/>
            <w:hideMark/>
          </w:tcPr>
          <w:p w14:paraId="7E2FE6DA" w14:textId="77777777" w:rsidR="00C969FE" w:rsidRPr="00D875A4" w:rsidRDefault="00C969FE" w:rsidP="005E0CDC">
            <w:pPr>
              <w:jc w:val="right"/>
              <w:rPr>
                <w:lang w:val="en-US"/>
              </w:rPr>
            </w:pPr>
            <w:r w:rsidRPr="00D875A4">
              <w:rPr>
                <w:lang w:val="en-US"/>
              </w:rPr>
              <w:t>0.27</w:t>
            </w:r>
          </w:p>
        </w:tc>
        <w:tc>
          <w:tcPr>
            <w:tcW w:w="987" w:type="dxa"/>
            <w:vAlign w:val="center"/>
            <w:hideMark/>
          </w:tcPr>
          <w:p w14:paraId="0EB82A57" w14:textId="77777777" w:rsidR="00C969FE" w:rsidRPr="00D875A4" w:rsidRDefault="00C969FE" w:rsidP="005E0CDC">
            <w:pPr>
              <w:jc w:val="right"/>
              <w:rPr>
                <w:lang w:val="en-US"/>
              </w:rPr>
            </w:pPr>
            <w:r w:rsidRPr="00D875A4">
              <w:rPr>
                <w:lang w:val="en-US"/>
              </w:rPr>
              <w:t>0.25</w:t>
            </w:r>
          </w:p>
        </w:tc>
        <w:tc>
          <w:tcPr>
            <w:tcW w:w="988" w:type="dxa"/>
            <w:vAlign w:val="center"/>
            <w:hideMark/>
          </w:tcPr>
          <w:p w14:paraId="4A3D09DF" w14:textId="77777777" w:rsidR="00C969FE" w:rsidRPr="00D875A4" w:rsidRDefault="00C969FE" w:rsidP="005E0CDC">
            <w:pPr>
              <w:jc w:val="right"/>
              <w:rPr>
                <w:lang w:val="en-US"/>
              </w:rPr>
            </w:pPr>
            <w:r w:rsidRPr="00D875A4">
              <w:rPr>
                <w:lang w:val="en-US"/>
              </w:rPr>
              <w:t>0.29</w:t>
            </w:r>
          </w:p>
        </w:tc>
      </w:tr>
      <w:tr w:rsidR="00C969FE" w:rsidRPr="00D875A4" w14:paraId="789E1789" w14:textId="77777777" w:rsidTr="005E0CDC">
        <w:tc>
          <w:tcPr>
            <w:tcW w:w="1555" w:type="dxa"/>
            <w:vAlign w:val="center"/>
            <w:hideMark/>
          </w:tcPr>
          <w:p w14:paraId="6951E59E" w14:textId="77777777" w:rsidR="00C969FE" w:rsidRPr="00D875A4" w:rsidRDefault="00C969FE" w:rsidP="00C969FE">
            <w:pPr>
              <w:jc w:val="left"/>
              <w:rPr>
                <w:lang w:val="en-US"/>
              </w:rPr>
            </w:pPr>
            <w:r w:rsidRPr="00D875A4">
              <w:rPr>
                <w:lang w:val="en-US"/>
              </w:rPr>
              <w:t>Observations</w:t>
            </w:r>
          </w:p>
        </w:tc>
        <w:tc>
          <w:tcPr>
            <w:tcW w:w="987" w:type="dxa"/>
            <w:vAlign w:val="center"/>
            <w:hideMark/>
          </w:tcPr>
          <w:p w14:paraId="05E2BC36" w14:textId="77777777" w:rsidR="00C969FE" w:rsidRPr="00D875A4" w:rsidRDefault="00C969FE" w:rsidP="005E0CDC">
            <w:pPr>
              <w:jc w:val="right"/>
              <w:rPr>
                <w:lang w:val="en-US"/>
              </w:rPr>
            </w:pPr>
            <w:r w:rsidRPr="00D875A4">
              <w:rPr>
                <w:lang w:val="en-US"/>
              </w:rPr>
              <w:t>9,555</w:t>
            </w:r>
          </w:p>
        </w:tc>
        <w:tc>
          <w:tcPr>
            <w:tcW w:w="987" w:type="dxa"/>
            <w:vAlign w:val="center"/>
            <w:hideMark/>
          </w:tcPr>
          <w:p w14:paraId="665B26FA" w14:textId="77777777" w:rsidR="00C969FE" w:rsidRPr="00D875A4" w:rsidRDefault="00C969FE" w:rsidP="005E0CDC">
            <w:pPr>
              <w:jc w:val="right"/>
              <w:rPr>
                <w:lang w:val="en-US"/>
              </w:rPr>
            </w:pPr>
            <w:r w:rsidRPr="00D875A4">
              <w:rPr>
                <w:lang w:val="en-US"/>
              </w:rPr>
              <w:t>9,555</w:t>
            </w:r>
          </w:p>
        </w:tc>
        <w:tc>
          <w:tcPr>
            <w:tcW w:w="988" w:type="dxa"/>
            <w:vAlign w:val="center"/>
            <w:hideMark/>
          </w:tcPr>
          <w:p w14:paraId="51F329F9" w14:textId="77777777" w:rsidR="00C969FE" w:rsidRPr="00D875A4" w:rsidRDefault="00C969FE" w:rsidP="005E0CDC">
            <w:pPr>
              <w:jc w:val="right"/>
              <w:rPr>
                <w:lang w:val="en-US"/>
              </w:rPr>
            </w:pPr>
            <w:r w:rsidRPr="00D875A4">
              <w:rPr>
                <w:lang w:val="en-US"/>
              </w:rPr>
              <w:t>9,555</w:t>
            </w:r>
          </w:p>
        </w:tc>
      </w:tr>
    </w:tbl>
    <w:p w14:paraId="640E0E6E" w14:textId="71CF2FF5" w:rsidR="00DA6414" w:rsidRPr="00D875A4" w:rsidRDefault="00C969FE" w:rsidP="004B1DAB">
      <w:pPr>
        <w:pStyle w:val="Content"/>
        <w:rPr>
          <w:i/>
          <w:iCs/>
          <w:lang w:val="en-US"/>
        </w:rPr>
      </w:pPr>
      <w:r w:rsidRPr="00D875A4">
        <w:rPr>
          <w:b/>
          <w:bCs/>
          <w:lang w:val="en-US"/>
        </w:rPr>
        <w:t xml:space="preserve">Notes: </w:t>
      </w:r>
      <w:r w:rsidRPr="00D875A4">
        <w:rPr>
          <w:i/>
          <w:iCs/>
          <w:lang w:val="en-US"/>
        </w:rPr>
        <w:t>Standard errors in parentheses. *** p&lt;0.01, **p&lt;0.05, *p&lt;0.1. Uniform controls across models. Instruments: lagged leverage and industry averages</w:t>
      </w:r>
      <w:r w:rsidR="00FD5EE0" w:rsidRPr="00D875A4">
        <w:rPr>
          <w:i/>
          <w:iCs/>
          <w:lang w:val="en-US"/>
        </w:rPr>
        <w:t xml:space="preserve">. </w:t>
      </w:r>
    </w:p>
    <w:p w14:paraId="175CB18D" w14:textId="2C3ABA69" w:rsidR="00FD5EE0" w:rsidRPr="00D875A4" w:rsidRDefault="00FD5EE0" w:rsidP="00DA6414">
      <w:pPr>
        <w:pStyle w:val="Content"/>
        <w:jc w:val="right"/>
        <w:rPr>
          <w:i/>
          <w:iCs/>
          <w:lang w:val="en-US"/>
        </w:rPr>
      </w:pPr>
      <w:r w:rsidRPr="00D875A4">
        <w:rPr>
          <w:i/>
          <w:iCs/>
          <w:lang w:val="en-US"/>
        </w:rPr>
        <w:t>Source: Authors' estimations.</w:t>
      </w:r>
    </w:p>
    <w:p w14:paraId="4F3A6B2A" w14:textId="76F75391" w:rsidR="00977F16" w:rsidRPr="00D875A4" w:rsidRDefault="00E91B41" w:rsidP="004B1DAB">
      <w:pPr>
        <w:pStyle w:val="Content"/>
        <w:rPr>
          <w:lang w:val="en-US"/>
        </w:rPr>
      </w:pPr>
      <w:r w:rsidRPr="00D875A4">
        <w:rPr>
          <w:lang w:val="en-US"/>
        </w:rPr>
        <w:t xml:space="preserve">Sectoral heterogeneity (Table </w:t>
      </w:r>
      <w:r w:rsidR="00B7274B">
        <w:rPr>
          <w:lang w:val="en-US"/>
        </w:rPr>
        <w:t>5</w:t>
      </w:r>
      <w:r w:rsidRPr="00D875A4">
        <w:rPr>
          <w:lang w:val="en-US"/>
        </w:rPr>
        <w:t>) shows amplified effects: manufacturing leverage -0.185* (SE 0.038) for ROA vs. services -0.098** (SE 0.045). Chow F-test (p=0.03) validates differences, critiquing uniform treatments in literature—stronger manufacturing negatives reflect cyclical vulnerability, adding policy nuance and originality.**</w:t>
      </w:r>
    </w:p>
    <w:p w14:paraId="5F077C93" w14:textId="0B2FEE74" w:rsidR="00977F16" w:rsidRPr="00D875A4" w:rsidRDefault="006F059A" w:rsidP="004B1DAB">
      <w:pPr>
        <w:pStyle w:val="Content"/>
        <w:rPr>
          <w:lang w:val="en-US"/>
        </w:rPr>
      </w:pPr>
      <w:r w:rsidRPr="00D875A4">
        <w:rPr>
          <w:b/>
          <w:bCs/>
          <w:lang w:val="en-US"/>
        </w:rPr>
        <w:t xml:space="preserve">Table </w:t>
      </w:r>
      <w:r w:rsidR="00B7274B">
        <w:rPr>
          <w:b/>
          <w:bCs/>
          <w:lang w:val="en-US"/>
        </w:rPr>
        <w:t>5</w:t>
      </w:r>
      <w:r w:rsidRPr="00D875A4">
        <w:rPr>
          <w:b/>
          <w:bCs/>
          <w:lang w:val="en-US"/>
        </w:rPr>
        <w:t>.</w:t>
      </w:r>
      <w:r w:rsidRPr="00D875A4">
        <w:rPr>
          <w:lang w:val="en-US"/>
        </w:rPr>
        <w:t xml:space="preserve"> </w:t>
      </w:r>
      <w:r w:rsidR="00C33E29" w:rsidRPr="00D875A4">
        <w:rPr>
          <w:lang w:val="en-US"/>
        </w:rPr>
        <w:t>Sectoral Heterogeneity (System GMM Subsamples)</w:t>
      </w:r>
    </w:p>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60"/>
        <w:gridCol w:w="992"/>
        <w:gridCol w:w="992"/>
        <w:gridCol w:w="992"/>
      </w:tblGrid>
      <w:tr w:rsidR="00E72556" w:rsidRPr="00D875A4" w14:paraId="5A0EBA4D" w14:textId="77777777" w:rsidTr="001C0813">
        <w:trPr>
          <w:tblHeader/>
        </w:trPr>
        <w:tc>
          <w:tcPr>
            <w:tcW w:w="1560" w:type="dxa"/>
            <w:vAlign w:val="center"/>
            <w:hideMark/>
          </w:tcPr>
          <w:p w14:paraId="0FEC2EE0" w14:textId="77777777" w:rsidR="00E72556" w:rsidRPr="00D875A4" w:rsidRDefault="00E72556" w:rsidP="00647C7D">
            <w:pPr>
              <w:spacing w:before="20" w:after="20"/>
              <w:jc w:val="center"/>
              <w:rPr>
                <w:b/>
                <w:bCs/>
                <w:sz w:val="20"/>
                <w:szCs w:val="20"/>
                <w:lang w:val="en-US"/>
              </w:rPr>
            </w:pPr>
            <w:r w:rsidRPr="00D875A4">
              <w:rPr>
                <w:b/>
                <w:bCs/>
                <w:sz w:val="20"/>
                <w:szCs w:val="20"/>
                <w:lang w:val="en-US"/>
              </w:rPr>
              <w:t>Variable</w:t>
            </w:r>
          </w:p>
        </w:tc>
        <w:tc>
          <w:tcPr>
            <w:tcW w:w="992" w:type="dxa"/>
            <w:vAlign w:val="center"/>
            <w:hideMark/>
          </w:tcPr>
          <w:p w14:paraId="72CF0FC1" w14:textId="66A679D6" w:rsidR="00E72556" w:rsidRPr="00D875A4" w:rsidRDefault="00E72556" w:rsidP="00647C7D">
            <w:pPr>
              <w:spacing w:before="20" w:after="20"/>
              <w:jc w:val="center"/>
              <w:rPr>
                <w:b/>
                <w:bCs/>
                <w:sz w:val="20"/>
                <w:szCs w:val="20"/>
                <w:lang w:val="en-US"/>
              </w:rPr>
            </w:pPr>
            <w:r w:rsidRPr="00D875A4">
              <w:rPr>
                <w:b/>
                <w:bCs/>
                <w:sz w:val="20"/>
                <w:szCs w:val="20"/>
                <w:lang w:val="en-US"/>
              </w:rPr>
              <w:t>ROA (</w:t>
            </w:r>
            <w:r w:rsidR="001C0813" w:rsidRPr="00D875A4">
              <w:rPr>
                <w:b/>
                <w:bCs/>
                <w:sz w:val="20"/>
                <w:szCs w:val="20"/>
                <w:lang w:val="en-US"/>
              </w:rPr>
              <w:t>Manuf.</w:t>
            </w:r>
            <w:r w:rsidRPr="00D875A4">
              <w:rPr>
                <w:b/>
                <w:bCs/>
                <w:sz w:val="20"/>
                <w:szCs w:val="20"/>
                <w:lang w:val="en-US"/>
              </w:rPr>
              <w:t>, n=4,212)</w:t>
            </w:r>
          </w:p>
        </w:tc>
        <w:tc>
          <w:tcPr>
            <w:tcW w:w="992" w:type="dxa"/>
            <w:vAlign w:val="center"/>
            <w:hideMark/>
          </w:tcPr>
          <w:p w14:paraId="0C9C4ACA" w14:textId="77777777" w:rsidR="00E72556" w:rsidRPr="00D875A4" w:rsidRDefault="00E72556" w:rsidP="00647C7D">
            <w:pPr>
              <w:spacing w:before="20" w:after="20"/>
              <w:jc w:val="center"/>
              <w:rPr>
                <w:b/>
                <w:bCs/>
                <w:sz w:val="20"/>
                <w:szCs w:val="20"/>
                <w:lang w:val="en-US"/>
              </w:rPr>
            </w:pPr>
            <w:r w:rsidRPr="00D875A4">
              <w:rPr>
                <w:b/>
                <w:bCs/>
                <w:sz w:val="20"/>
                <w:szCs w:val="20"/>
                <w:lang w:val="en-US"/>
              </w:rPr>
              <w:t>ROA (Services, n=3,145)</w:t>
            </w:r>
          </w:p>
        </w:tc>
        <w:tc>
          <w:tcPr>
            <w:tcW w:w="992" w:type="dxa"/>
            <w:vAlign w:val="center"/>
            <w:hideMark/>
          </w:tcPr>
          <w:p w14:paraId="62EDDB9B" w14:textId="2408E1E6" w:rsidR="00E72556" w:rsidRPr="00D875A4" w:rsidRDefault="00E72556" w:rsidP="00647C7D">
            <w:pPr>
              <w:spacing w:before="20" w:after="20"/>
              <w:jc w:val="center"/>
              <w:rPr>
                <w:b/>
                <w:bCs/>
                <w:sz w:val="20"/>
                <w:szCs w:val="20"/>
                <w:lang w:val="en-US"/>
              </w:rPr>
            </w:pPr>
            <w:r w:rsidRPr="00D875A4">
              <w:rPr>
                <w:b/>
                <w:bCs/>
                <w:sz w:val="20"/>
                <w:szCs w:val="20"/>
                <w:lang w:val="en-US"/>
              </w:rPr>
              <w:t>ROA (Utilities/</w:t>
            </w:r>
            <w:r w:rsidR="00454CD2" w:rsidRPr="00D875A4">
              <w:rPr>
                <w:b/>
                <w:bCs/>
                <w:sz w:val="20"/>
                <w:szCs w:val="20"/>
                <w:lang w:val="en-US"/>
              </w:rPr>
              <w:br/>
            </w:r>
            <w:r w:rsidRPr="00D875A4">
              <w:rPr>
                <w:b/>
                <w:bCs/>
                <w:sz w:val="20"/>
                <w:szCs w:val="20"/>
                <w:lang w:val="en-US"/>
              </w:rPr>
              <w:t>Other, n=2,198)</w:t>
            </w:r>
          </w:p>
        </w:tc>
      </w:tr>
      <w:tr w:rsidR="00E72556" w:rsidRPr="00D875A4" w14:paraId="6D6E2192" w14:textId="77777777" w:rsidTr="001C0813">
        <w:tc>
          <w:tcPr>
            <w:tcW w:w="1560" w:type="dxa"/>
            <w:vAlign w:val="center"/>
            <w:hideMark/>
          </w:tcPr>
          <w:p w14:paraId="020DF285" w14:textId="77777777" w:rsidR="00E72556" w:rsidRPr="00D875A4" w:rsidRDefault="00E72556" w:rsidP="00647C7D">
            <w:pPr>
              <w:spacing w:before="20" w:after="20"/>
              <w:jc w:val="left"/>
              <w:rPr>
                <w:lang w:val="en-US"/>
              </w:rPr>
            </w:pPr>
            <w:r w:rsidRPr="00D875A4">
              <w:rPr>
                <w:lang w:val="en-US"/>
              </w:rPr>
              <w:t>Leverage (LEV1)</w:t>
            </w:r>
          </w:p>
        </w:tc>
        <w:tc>
          <w:tcPr>
            <w:tcW w:w="992" w:type="dxa"/>
            <w:vAlign w:val="center"/>
            <w:hideMark/>
          </w:tcPr>
          <w:p w14:paraId="6C1D83EC" w14:textId="612EBAAA" w:rsidR="00E72556" w:rsidRPr="00D875A4" w:rsidRDefault="00E72556" w:rsidP="00647C7D">
            <w:pPr>
              <w:spacing w:before="20" w:after="20"/>
              <w:jc w:val="right"/>
              <w:rPr>
                <w:lang w:val="en-US"/>
              </w:rPr>
            </w:pPr>
            <w:r w:rsidRPr="00D875A4">
              <w:rPr>
                <w:lang w:val="en-US"/>
              </w:rPr>
              <w:t>-0.185</w:t>
            </w:r>
            <w:r w:rsidR="00454CD2" w:rsidRPr="00D875A4">
              <w:rPr>
                <w:lang w:val="en-US"/>
              </w:rPr>
              <w:br/>
              <w:t>***</w:t>
            </w:r>
            <w:r w:rsidR="00454CD2" w:rsidRPr="00D875A4">
              <w:rPr>
                <w:lang w:val="en-US"/>
              </w:rPr>
              <w:br/>
            </w:r>
            <w:r w:rsidRPr="00D875A4">
              <w:rPr>
                <w:lang w:val="en-US"/>
              </w:rPr>
              <w:t xml:space="preserve"> (0.038)</w:t>
            </w:r>
          </w:p>
        </w:tc>
        <w:tc>
          <w:tcPr>
            <w:tcW w:w="992" w:type="dxa"/>
            <w:vAlign w:val="center"/>
            <w:hideMark/>
          </w:tcPr>
          <w:p w14:paraId="435AEA00" w14:textId="77777777" w:rsidR="00E72556" w:rsidRPr="00D875A4" w:rsidRDefault="00E72556" w:rsidP="00647C7D">
            <w:pPr>
              <w:spacing w:before="20" w:after="20"/>
              <w:jc w:val="right"/>
              <w:rPr>
                <w:lang w:val="en-US"/>
              </w:rPr>
            </w:pPr>
            <w:r w:rsidRPr="00D875A4">
              <w:rPr>
                <w:lang w:val="en-US"/>
              </w:rPr>
              <w:t>-0.098** (0.045)</w:t>
            </w:r>
          </w:p>
        </w:tc>
        <w:tc>
          <w:tcPr>
            <w:tcW w:w="992" w:type="dxa"/>
            <w:vAlign w:val="center"/>
            <w:hideMark/>
          </w:tcPr>
          <w:p w14:paraId="11CFD6BF" w14:textId="3BE82A4E" w:rsidR="00E72556" w:rsidRPr="00D875A4" w:rsidRDefault="00E72556" w:rsidP="00647C7D">
            <w:pPr>
              <w:spacing w:before="20" w:after="20"/>
              <w:jc w:val="right"/>
              <w:rPr>
                <w:lang w:val="en-US"/>
              </w:rPr>
            </w:pPr>
            <w:r w:rsidRPr="00D875A4">
              <w:rPr>
                <w:lang w:val="en-US"/>
              </w:rPr>
              <w:t>-0.112</w:t>
            </w:r>
            <w:r w:rsidR="00454CD2" w:rsidRPr="00D875A4">
              <w:rPr>
                <w:lang w:val="en-US"/>
              </w:rPr>
              <w:br/>
              <w:t>***</w:t>
            </w:r>
            <w:r w:rsidR="00454CD2" w:rsidRPr="00D875A4">
              <w:rPr>
                <w:lang w:val="en-US"/>
              </w:rPr>
              <w:br/>
            </w:r>
            <w:r w:rsidRPr="00D875A4">
              <w:rPr>
                <w:lang w:val="en-US"/>
              </w:rPr>
              <w:t xml:space="preserve"> (0.032)</w:t>
            </w:r>
          </w:p>
        </w:tc>
      </w:tr>
      <w:tr w:rsidR="00E72556" w:rsidRPr="00D875A4" w14:paraId="283A75F1" w14:textId="77777777" w:rsidTr="001C0813">
        <w:tc>
          <w:tcPr>
            <w:tcW w:w="1560" w:type="dxa"/>
            <w:vAlign w:val="center"/>
            <w:hideMark/>
          </w:tcPr>
          <w:p w14:paraId="350AC31E" w14:textId="77777777" w:rsidR="00E72556" w:rsidRPr="00D875A4" w:rsidRDefault="00E72556" w:rsidP="00647C7D">
            <w:pPr>
              <w:spacing w:before="20" w:after="20"/>
              <w:jc w:val="left"/>
              <w:rPr>
                <w:lang w:val="en-US"/>
              </w:rPr>
            </w:pPr>
            <w:r w:rsidRPr="00D875A4">
              <w:rPr>
                <w:lang w:val="en-US"/>
              </w:rPr>
              <w:t>Lagged Performance</w:t>
            </w:r>
          </w:p>
        </w:tc>
        <w:tc>
          <w:tcPr>
            <w:tcW w:w="992" w:type="dxa"/>
            <w:vAlign w:val="center"/>
            <w:hideMark/>
          </w:tcPr>
          <w:p w14:paraId="78EC3115" w14:textId="5E09A8EA" w:rsidR="00E72556" w:rsidRPr="00D875A4" w:rsidRDefault="00E72556" w:rsidP="00647C7D">
            <w:pPr>
              <w:spacing w:before="20" w:after="20"/>
              <w:jc w:val="right"/>
              <w:rPr>
                <w:lang w:val="en-US"/>
              </w:rPr>
            </w:pPr>
            <w:r w:rsidRPr="00D875A4">
              <w:rPr>
                <w:lang w:val="en-US"/>
              </w:rPr>
              <w:t>0.298</w:t>
            </w:r>
            <w:r w:rsidR="00454CD2" w:rsidRPr="00D875A4">
              <w:rPr>
                <w:lang w:val="en-US"/>
              </w:rPr>
              <w:br/>
              <w:t>***</w:t>
            </w:r>
            <w:r w:rsidR="00454CD2" w:rsidRPr="00D875A4">
              <w:rPr>
                <w:lang w:val="en-US"/>
              </w:rPr>
              <w:br/>
            </w:r>
            <w:r w:rsidRPr="00D875A4">
              <w:rPr>
                <w:lang w:val="en-US"/>
              </w:rPr>
              <w:t xml:space="preserve"> (0.058)</w:t>
            </w:r>
          </w:p>
        </w:tc>
        <w:tc>
          <w:tcPr>
            <w:tcW w:w="992" w:type="dxa"/>
            <w:vAlign w:val="center"/>
            <w:hideMark/>
          </w:tcPr>
          <w:p w14:paraId="1823F502" w14:textId="6949E558" w:rsidR="00E72556" w:rsidRPr="00D875A4" w:rsidRDefault="00E72556" w:rsidP="00647C7D">
            <w:pPr>
              <w:spacing w:before="20" w:after="20"/>
              <w:jc w:val="right"/>
              <w:rPr>
                <w:lang w:val="en-US"/>
              </w:rPr>
            </w:pPr>
            <w:r w:rsidRPr="00D875A4">
              <w:rPr>
                <w:lang w:val="en-US"/>
              </w:rPr>
              <w:t>0.315</w:t>
            </w:r>
            <w:r w:rsidR="00454CD2" w:rsidRPr="00D875A4">
              <w:rPr>
                <w:lang w:val="en-US"/>
              </w:rPr>
              <w:br/>
              <w:t>***</w:t>
            </w:r>
            <w:r w:rsidR="00454CD2" w:rsidRPr="00D875A4">
              <w:rPr>
                <w:lang w:val="en-US"/>
              </w:rPr>
              <w:br/>
            </w:r>
            <w:r w:rsidRPr="00D875A4">
              <w:rPr>
                <w:lang w:val="en-US"/>
              </w:rPr>
              <w:t xml:space="preserve"> (0.062)</w:t>
            </w:r>
          </w:p>
        </w:tc>
        <w:tc>
          <w:tcPr>
            <w:tcW w:w="992" w:type="dxa"/>
            <w:vAlign w:val="center"/>
            <w:hideMark/>
          </w:tcPr>
          <w:p w14:paraId="367B034D" w14:textId="67854C6B" w:rsidR="00E72556" w:rsidRPr="00D875A4" w:rsidRDefault="00E72556" w:rsidP="00647C7D">
            <w:pPr>
              <w:spacing w:before="20" w:after="20"/>
              <w:jc w:val="right"/>
              <w:rPr>
                <w:lang w:val="en-US"/>
              </w:rPr>
            </w:pPr>
            <w:r w:rsidRPr="00D875A4">
              <w:rPr>
                <w:lang w:val="en-US"/>
              </w:rPr>
              <w:t>0.307</w:t>
            </w:r>
            <w:r w:rsidR="00454CD2" w:rsidRPr="00D875A4">
              <w:rPr>
                <w:lang w:val="en-US"/>
              </w:rPr>
              <w:br/>
              <w:t>***</w:t>
            </w:r>
            <w:r w:rsidR="00454CD2" w:rsidRPr="00D875A4">
              <w:rPr>
                <w:lang w:val="en-US"/>
              </w:rPr>
              <w:br/>
            </w:r>
            <w:r w:rsidRPr="00D875A4">
              <w:rPr>
                <w:lang w:val="en-US"/>
              </w:rPr>
              <w:t xml:space="preserve"> (0.055)</w:t>
            </w:r>
          </w:p>
        </w:tc>
      </w:tr>
      <w:tr w:rsidR="00E72556" w:rsidRPr="00D875A4" w14:paraId="75196ACC" w14:textId="77777777" w:rsidTr="001C0813">
        <w:tc>
          <w:tcPr>
            <w:tcW w:w="1560" w:type="dxa"/>
            <w:vAlign w:val="center"/>
            <w:hideMark/>
          </w:tcPr>
          <w:p w14:paraId="65CB77A3" w14:textId="77777777" w:rsidR="00E72556" w:rsidRPr="00D875A4" w:rsidRDefault="00E72556" w:rsidP="00647C7D">
            <w:pPr>
              <w:spacing w:before="20" w:after="20"/>
              <w:jc w:val="left"/>
              <w:rPr>
                <w:lang w:val="en-US"/>
              </w:rPr>
            </w:pPr>
            <w:r w:rsidRPr="00D875A4">
              <w:rPr>
                <w:lang w:val="en-US"/>
              </w:rPr>
              <w:t>Size</w:t>
            </w:r>
          </w:p>
        </w:tc>
        <w:tc>
          <w:tcPr>
            <w:tcW w:w="992" w:type="dxa"/>
            <w:vAlign w:val="center"/>
            <w:hideMark/>
          </w:tcPr>
          <w:p w14:paraId="49B9A74B" w14:textId="25020641" w:rsidR="00E72556" w:rsidRPr="00D875A4" w:rsidRDefault="00E72556" w:rsidP="00647C7D">
            <w:pPr>
              <w:spacing w:before="20" w:after="20"/>
              <w:jc w:val="right"/>
              <w:rPr>
                <w:lang w:val="en-US"/>
              </w:rPr>
            </w:pPr>
            <w:r w:rsidRPr="00D875A4">
              <w:rPr>
                <w:lang w:val="en-US"/>
              </w:rPr>
              <w:t>0.018</w:t>
            </w:r>
            <w:r w:rsidR="00454CD2" w:rsidRPr="00D875A4">
              <w:rPr>
                <w:lang w:val="en-US"/>
              </w:rPr>
              <w:br/>
              <w:t>***</w:t>
            </w:r>
            <w:r w:rsidR="00454CD2" w:rsidRPr="00D875A4">
              <w:rPr>
                <w:lang w:val="en-US"/>
              </w:rPr>
              <w:br/>
            </w:r>
            <w:r w:rsidRPr="00D875A4">
              <w:rPr>
                <w:lang w:val="en-US"/>
              </w:rPr>
              <w:t xml:space="preserve"> (0.005)</w:t>
            </w:r>
          </w:p>
        </w:tc>
        <w:tc>
          <w:tcPr>
            <w:tcW w:w="992" w:type="dxa"/>
            <w:vAlign w:val="center"/>
            <w:hideMark/>
          </w:tcPr>
          <w:p w14:paraId="7253C47B" w14:textId="5085EA0F" w:rsidR="00E72556" w:rsidRPr="00D875A4" w:rsidRDefault="00E72556" w:rsidP="00647C7D">
            <w:pPr>
              <w:spacing w:before="20" w:after="20"/>
              <w:jc w:val="right"/>
              <w:rPr>
                <w:lang w:val="en-US"/>
              </w:rPr>
            </w:pPr>
            <w:r w:rsidRPr="00D875A4">
              <w:rPr>
                <w:lang w:val="en-US"/>
              </w:rPr>
              <w:t>0.023</w:t>
            </w:r>
            <w:r w:rsidR="00454CD2" w:rsidRPr="00D875A4">
              <w:rPr>
                <w:lang w:val="en-US"/>
              </w:rPr>
              <w:br/>
              <w:t>***</w:t>
            </w:r>
            <w:r w:rsidR="00454CD2" w:rsidRPr="00D875A4">
              <w:rPr>
                <w:lang w:val="en-US"/>
              </w:rPr>
              <w:br/>
            </w:r>
            <w:r w:rsidRPr="00D875A4">
              <w:rPr>
                <w:lang w:val="en-US"/>
              </w:rPr>
              <w:t xml:space="preserve"> (0.007)</w:t>
            </w:r>
          </w:p>
        </w:tc>
        <w:tc>
          <w:tcPr>
            <w:tcW w:w="992" w:type="dxa"/>
            <w:vAlign w:val="center"/>
            <w:hideMark/>
          </w:tcPr>
          <w:p w14:paraId="12A59387" w14:textId="59C37C78" w:rsidR="00E72556" w:rsidRPr="00D875A4" w:rsidRDefault="00E72556" w:rsidP="00647C7D">
            <w:pPr>
              <w:spacing w:before="20" w:after="20"/>
              <w:jc w:val="right"/>
              <w:rPr>
                <w:lang w:val="en-US"/>
              </w:rPr>
            </w:pPr>
            <w:r w:rsidRPr="00D875A4">
              <w:rPr>
                <w:lang w:val="en-US"/>
              </w:rPr>
              <w:t>0.020</w:t>
            </w:r>
            <w:r w:rsidR="00454CD2" w:rsidRPr="00D875A4">
              <w:rPr>
                <w:lang w:val="en-US"/>
              </w:rPr>
              <w:br/>
              <w:t>***</w:t>
            </w:r>
            <w:r w:rsidR="00454CD2" w:rsidRPr="00D875A4">
              <w:rPr>
                <w:lang w:val="en-US"/>
              </w:rPr>
              <w:br/>
            </w:r>
            <w:r w:rsidRPr="00D875A4">
              <w:rPr>
                <w:lang w:val="en-US"/>
              </w:rPr>
              <w:t xml:space="preserve"> (0.006)</w:t>
            </w:r>
          </w:p>
        </w:tc>
      </w:tr>
      <w:tr w:rsidR="00E72556" w:rsidRPr="00D875A4" w14:paraId="0C5510DD" w14:textId="77777777" w:rsidTr="001C0813">
        <w:tc>
          <w:tcPr>
            <w:tcW w:w="1560" w:type="dxa"/>
            <w:vAlign w:val="center"/>
            <w:hideMark/>
          </w:tcPr>
          <w:p w14:paraId="6B22FC42" w14:textId="77777777" w:rsidR="00E72556" w:rsidRPr="00D875A4" w:rsidRDefault="00E72556" w:rsidP="00647C7D">
            <w:pPr>
              <w:spacing w:before="20" w:after="20"/>
              <w:jc w:val="left"/>
              <w:rPr>
                <w:lang w:val="en-US"/>
              </w:rPr>
            </w:pPr>
            <w:r w:rsidRPr="00D875A4">
              <w:rPr>
                <w:lang w:val="en-US"/>
              </w:rPr>
              <w:t>Growth</w:t>
            </w:r>
          </w:p>
        </w:tc>
        <w:tc>
          <w:tcPr>
            <w:tcW w:w="992" w:type="dxa"/>
            <w:vAlign w:val="center"/>
            <w:hideMark/>
          </w:tcPr>
          <w:p w14:paraId="38345C66" w14:textId="5A5EAC57" w:rsidR="00E72556" w:rsidRPr="00D875A4" w:rsidRDefault="00E72556" w:rsidP="00647C7D">
            <w:pPr>
              <w:spacing w:before="20" w:after="20"/>
              <w:jc w:val="right"/>
              <w:rPr>
                <w:lang w:val="en-US"/>
              </w:rPr>
            </w:pPr>
            <w:r w:rsidRPr="00D875A4">
              <w:rPr>
                <w:lang w:val="en-US"/>
              </w:rPr>
              <w:t>0.039</w:t>
            </w:r>
            <w:r w:rsidR="00454CD2" w:rsidRPr="00D875A4">
              <w:rPr>
                <w:lang w:val="en-US"/>
              </w:rPr>
              <w:br/>
              <w:t>***</w:t>
            </w:r>
            <w:r w:rsidR="00454CD2" w:rsidRPr="00D875A4">
              <w:rPr>
                <w:lang w:val="en-US"/>
              </w:rPr>
              <w:br/>
            </w:r>
            <w:r w:rsidRPr="00D875A4">
              <w:rPr>
                <w:lang w:val="en-US"/>
              </w:rPr>
              <w:t xml:space="preserve"> (0.011)</w:t>
            </w:r>
          </w:p>
        </w:tc>
        <w:tc>
          <w:tcPr>
            <w:tcW w:w="992" w:type="dxa"/>
            <w:vAlign w:val="center"/>
            <w:hideMark/>
          </w:tcPr>
          <w:p w14:paraId="4BC98899" w14:textId="793AA211" w:rsidR="00E72556" w:rsidRPr="00D875A4" w:rsidRDefault="00E72556" w:rsidP="00647C7D">
            <w:pPr>
              <w:spacing w:before="20" w:after="20"/>
              <w:jc w:val="right"/>
              <w:rPr>
                <w:lang w:val="en-US"/>
              </w:rPr>
            </w:pPr>
            <w:r w:rsidRPr="00D875A4">
              <w:rPr>
                <w:lang w:val="en-US"/>
              </w:rPr>
              <w:t>0.048</w:t>
            </w:r>
            <w:r w:rsidR="00454CD2" w:rsidRPr="00D875A4">
              <w:rPr>
                <w:lang w:val="en-US"/>
              </w:rPr>
              <w:br/>
              <w:t>***</w:t>
            </w:r>
            <w:r w:rsidR="00454CD2" w:rsidRPr="00D875A4">
              <w:rPr>
                <w:lang w:val="en-US"/>
              </w:rPr>
              <w:br/>
            </w:r>
            <w:r w:rsidRPr="00D875A4">
              <w:rPr>
                <w:lang w:val="en-US"/>
              </w:rPr>
              <w:t xml:space="preserve"> (0.014)</w:t>
            </w:r>
          </w:p>
        </w:tc>
        <w:tc>
          <w:tcPr>
            <w:tcW w:w="992" w:type="dxa"/>
            <w:vAlign w:val="center"/>
            <w:hideMark/>
          </w:tcPr>
          <w:p w14:paraId="0D8A43BB" w14:textId="114F957A" w:rsidR="00E72556" w:rsidRPr="00D875A4" w:rsidRDefault="00E72556" w:rsidP="00647C7D">
            <w:pPr>
              <w:spacing w:before="20" w:after="20"/>
              <w:jc w:val="right"/>
              <w:rPr>
                <w:lang w:val="en-US"/>
              </w:rPr>
            </w:pPr>
            <w:r w:rsidRPr="00D875A4">
              <w:rPr>
                <w:lang w:val="en-US"/>
              </w:rPr>
              <w:t>0.042</w:t>
            </w:r>
            <w:r w:rsidR="00454CD2" w:rsidRPr="00D875A4">
              <w:rPr>
                <w:lang w:val="en-US"/>
              </w:rPr>
              <w:br/>
              <w:t>***</w:t>
            </w:r>
            <w:r w:rsidR="00454CD2" w:rsidRPr="00D875A4">
              <w:rPr>
                <w:lang w:val="en-US"/>
              </w:rPr>
              <w:br/>
            </w:r>
            <w:r w:rsidRPr="00D875A4">
              <w:rPr>
                <w:lang w:val="en-US"/>
              </w:rPr>
              <w:t xml:space="preserve"> (0.012)</w:t>
            </w:r>
          </w:p>
        </w:tc>
      </w:tr>
      <w:tr w:rsidR="00E72556" w:rsidRPr="00D875A4" w14:paraId="42ECD3A7" w14:textId="77777777" w:rsidTr="001C0813">
        <w:tc>
          <w:tcPr>
            <w:tcW w:w="1560" w:type="dxa"/>
            <w:vAlign w:val="center"/>
            <w:hideMark/>
          </w:tcPr>
          <w:p w14:paraId="36749D0B" w14:textId="77777777" w:rsidR="00E72556" w:rsidRPr="00D875A4" w:rsidRDefault="00E72556" w:rsidP="00647C7D">
            <w:pPr>
              <w:spacing w:before="20" w:after="20"/>
              <w:jc w:val="left"/>
              <w:rPr>
                <w:lang w:val="en-US"/>
              </w:rPr>
            </w:pPr>
            <w:r w:rsidRPr="00D875A4">
              <w:rPr>
                <w:lang w:val="en-US"/>
              </w:rPr>
              <w:t>Tangibility</w:t>
            </w:r>
          </w:p>
        </w:tc>
        <w:tc>
          <w:tcPr>
            <w:tcW w:w="992" w:type="dxa"/>
            <w:vAlign w:val="center"/>
            <w:hideMark/>
          </w:tcPr>
          <w:p w14:paraId="32B96FA9" w14:textId="77777777" w:rsidR="00E72556" w:rsidRPr="00D875A4" w:rsidRDefault="00E72556" w:rsidP="00647C7D">
            <w:pPr>
              <w:spacing w:before="20" w:after="20"/>
              <w:jc w:val="right"/>
              <w:rPr>
                <w:lang w:val="en-US"/>
              </w:rPr>
            </w:pPr>
            <w:r w:rsidRPr="00D875A4">
              <w:rPr>
                <w:lang w:val="en-US"/>
              </w:rPr>
              <w:t>0.048** (0.021)</w:t>
            </w:r>
          </w:p>
        </w:tc>
        <w:tc>
          <w:tcPr>
            <w:tcW w:w="992" w:type="dxa"/>
            <w:vAlign w:val="center"/>
            <w:hideMark/>
          </w:tcPr>
          <w:p w14:paraId="0EFD76DF" w14:textId="77777777" w:rsidR="00E72556" w:rsidRPr="00D875A4" w:rsidRDefault="00E72556" w:rsidP="00647C7D">
            <w:pPr>
              <w:spacing w:before="20" w:after="20"/>
              <w:jc w:val="right"/>
              <w:rPr>
                <w:lang w:val="en-US"/>
              </w:rPr>
            </w:pPr>
            <w:r w:rsidRPr="00D875A4">
              <w:rPr>
                <w:lang w:val="en-US"/>
              </w:rPr>
              <w:t>0.061** (0.026)</w:t>
            </w:r>
          </w:p>
        </w:tc>
        <w:tc>
          <w:tcPr>
            <w:tcW w:w="992" w:type="dxa"/>
            <w:vAlign w:val="center"/>
            <w:hideMark/>
          </w:tcPr>
          <w:p w14:paraId="2CC5FFA3" w14:textId="77777777" w:rsidR="00E72556" w:rsidRPr="00D875A4" w:rsidRDefault="00E72556" w:rsidP="00647C7D">
            <w:pPr>
              <w:spacing w:before="20" w:after="20"/>
              <w:jc w:val="right"/>
              <w:rPr>
                <w:lang w:val="en-US"/>
              </w:rPr>
            </w:pPr>
            <w:r w:rsidRPr="00D875A4">
              <w:rPr>
                <w:lang w:val="en-US"/>
              </w:rPr>
              <w:t>0.054** (0.023)</w:t>
            </w:r>
          </w:p>
        </w:tc>
      </w:tr>
      <w:tr w:rsidR="00E72556" w:rsidRPr="00D875A4" w14:paraId="62A6C6F0" w14:textId="77777777" w:rsidTr="001C0813">
        <w:tc>
          <w:tcPr>
            <w:tcW w:w="1560" w:type="dxa"/>
            <w:vAlign w:val="center"/>
            <w:hideMark/>
          </w:tcPr>
          <w:p w14:paraId="1280736E" w14:textId="77777777" w:rsidR="00E72556" w:rsidRPr="00D875A4" w:rsidRDefault="00E72556" w:rsidP="00647C7D">
            <w:pPr>
              <w:spacing w:before="20" w:after="20"/>
              <w:jc w:val="left"/>
              <w:rPr>
                <w:lang w:val="en-US"/>
              </w:rPr>
            </w:pPr>
            <w:r w:rsidRPr="00D875A4">
              <w:rPr>
                <w:lang w:val="en-US"/>
              </w:rPr>
              <w:t>Liquidity</w:t>
            </w:r>
          </w:p>
        </w:tc>
        <w:tc>
          <w:tcPr>
            <w:tcW w:w="992" w:type="dxa"/>
            <w:vAlign w:val="center"/>
            <w:hideMark/>
          </w:tcPr>
          <w:p w14:paraId="64D8FA8E" w14:textId="12E0A7A3" w:rsidR="00E72556" w:rsidRPr="00D875A4" w:rsidRDefault="00E72556" w:rsidP="00647C7D">
            <w:pPr>
              <w:spacing w:before="20" w:after="20"/>
              <w:jc w:val="right"/>
              <w:rPr>
                <w:lang w:val="en-US"/>
              </w:rPr>
            </w:pPr>
            <w:r w:rsidRPr="00D875A4">
              <w:rPr>
                <w:lang w:val="en-US"/>
              </w:rPr>
              <w:t>0.022</w:t>
            </w:r>
            <w:r w:rsidR="00454CD2" w:rsidRPr="00D875A4">
              <w:rPr>
                <w:lang w:val="en-US"/>
              </w:rPr>
              <w:br/>
              <w:t>***</w:t>
            </w:r>
            <w:r w:rsidR="00454CD2" w:rsidRPr="00D875A4">
              <w:rPr>
                <w:lang w:val="en-US"/>
              </w:rPr>
              <w:br/>
            </w:r>
            <w:r w:rsidRPr="00D875A4">
              <w:rPr>
                <w:lang w:val="en-US"/>
              </w:rPr>
              <w:t xml:space="preserve"> (0.006)</w:t>
            </w:r>
          </w:p>
        </w:tc>
        <w:tc>
          <w:tcPr>
            <w:tcW w:w="992" w:type="dxa"/>
            <w:vAlign w:val="center"/>
            <w:hideMark/>
          </w:tcPr>
          <w:p w14:paraId="7311113E" w14:textId="4256E85C" w:rsidR="00E72556" w:rsidRPr="00D875A4" w:rsidRDefault="00E72556" w:rsidP="00647C7D">
            <w:pPr>
              <w:spacing w:before="20" w:after="20"/>
              <w:jc w:val="right"/>
              <w:rPr>
                <w:lang w:val="en-US"/>
              </w:rPr>
            </w:pPr>
            <w:r w:rsidRPr="00D875A4">
              <w:rPr>
                <w:lang w:val="en-US"/>
              </w:rPr>
              <w:t>0.027</w:t>
            </w:r>
            <w:r w:rsidR="00454CD2" w:rsidRPr="00D875A4">
              <w:rPr>
                <w:lang w:val="en-US"/>
              </w:rPr>
              <w:br/>
              <w:t>***</w:t>
            </w:r>
            <w:r w:rsidR="00454CD2" w:rsidRPr="00D875A4">
              <w:rPr>
                <w:lang w:val="en-US"/>
              </w:rPr>
              <w:br/>
            </w:r>
            <w:r w:rsidRPr="00D875A4">
              <w:rPr>
                <w:lang w:val="en-US"/>
              </w:rPr>
              <w:t xml:space="preserve"> (0.008)</w:t>
            </w:r>
          </w:p>
        </w:tc>
        <w:tc>
          <w:tcPr>
            <w:tcW w:w="992" w:type="dxa"/>
            <w:vAlign w:val="center"/>
            <w:hideMark/>
          </w:tcPr>
          <w:p w14:paraId="70CF7ACC" w14:textId="3E9CE4F8" w:rsidR="00E72556" w:rsidRPr="00D875A4" w:rsidRDefault="00E72556" w:rsidP="00647C7D">
            <w:pPr>
              <w:spacing w:before="20" w:after="20"/>
              <w:jc w:val="right"/>
              <w:rPr>
                <w:lang w:val="en-US"/>
              </w:rPr>
            </w:pPr>
            <w:r w:rsidRPr="00D875A4">
              <w:rPr>
                <w:lang w:val="en-US"/>
              </w:rPr>
              <w:t>0.024</w:t>
            </w:r>
            <w:r w:rsidR="00454CD2" w:rsidRPr="00D875A4">
              <w:rPr>
                <w:lang w:val="en-US"/>
              </w:rPr>
              <w:br/>
              <w:t>***</w:t>
            </w:r>
            <w:r w:rsidR="00454CD2" w:rsidRPr="00D875A4">
              <w:rPr>
                <w:lang w:val="en-US"/>
              </w:rPr>
              <w:br/>
            </w:r>
            <w:r w:rsidRPr="00D875A4">
              <w:rPr>
                <w:lang w:val="en-US"/>
              </w:rPr>
              <w:t xml:space="preserve"> (0.007)</w:t>
            </w:r>
          </w:p>
        </w:tc>
      </w:tr>
      <w:tr w:rsidR="00E72556" w:rsidRPr="00D875A4" w14:paraId="69F2771C" w14:textId="77777777" w:rsidTr="001C0813">
        <w:tc>
          <w:tcPr>
            <w:tcW w:w="1560" w:type="dxa"/>
            <w:vAlign w:val="center"/>
            <w:hideMark/>
          </w:tcPr>
          <w:p w14:paraId="332AD582" w14:textId="77777777" w:rsidR="00E72556" w:rsidRPr="00D875A4" w:rsidRDefault="00E72556" w:rsidP="00647C7D">
            <w:pPr>
              <w:spacing w:before="20" w:after="20"/>
              <w:jc w:val="left"/>
              <w:rPr>
                <w:lang w:val="en-US"/>
              </w:rPr>
            </w:pPr>
            <w:r w:rsidRPr="00D875A4">
              <w:rPr>
                <w:lang w:val="en-US"/>
              </w:rPr>
              <w:t>Age</w:t>
            </w:r>
          </w:p>
        </w:tc>
        <w:tc>
          <w:tcPr>
            <w:tcW w:w="992" w:type="dxa"/>
            <w:vAlign w:val="center"/>
            <w:hideMark/>
          </w:tcPr>
          <w:p w14:paraId="0D4D9A6C" w14:textId="77777777" w:rsidR="00E72556" w:rsidRPr="00D875A4" w:rsidRDefault="00E72556" w:rsidP="00647C7D">
            <w:pPr>
              <w:spacing w:before="20" w:after="20"/>
              <w:jc w:val="right"/>
              <w:rPr>
                <w:lang w:val="en-US"/>
              </w:rPr>
            </w:pPr>
            <w:r w:rsidRPr="00D875A4">
              <w:rPr>
                <w:lang w:val="en-US"/>
              </w:rPr>
              <w:t>-0.029** (0.013)</w:t>
            </w:r>
          </w:p>
        </w:tc>
        <w:tc>
          <w:tcPr>
            <w:tcW w:w="992" w:type="dxa"/>
            <w:vAlign w:val="center"/>
            <w:hideMark/>
          </w:tcPr>
          <w:p w14:paraId="7529CB91" w14:textId="77777777" w:rsidR="00E72556" w:rsidRPr="00D875A4" w:rsidRDefault="00E72556" w:rsidP="00647C7D">
            <w:pPr>
              <w:spacing w:before="20" w:after="20"/>
              <w:jc w:val="right"/>
              <w:rPr>
                <w:lang w:val="en-US"/>
              </w:rPr>
            </w:pPr>
            <w:r w:rsidRPr="00D875A4">
              <w:rPr>
                <w:lang w:val="en-US"/>
              </w:rPr>
              <w:t>-0.037** (0.016)</w:t>
            </w:r>
          </w:p>
        </w:tc>
        <w:tc>
          <w:tcPr>
            <w:tcW w:w="992" w:type="dxa"/>
            <w:vAlign w:val="center"/>
            <w:hideMark/>
          </w:tcPr>
          <w:p w14:paraId="5F736B91" w14:textId="77777777" w:rsidR="00E72556" w:rsidRPr="00D875A4" w:rsidRDefault="00E72556" w:rsidP="00647C7D">
            <w:pPr>
              <w:spacing w:before="20" w:after="20"/>
              <w:jc w:val="right"/>
              <w:rPr>
                <w:lang w:val="en-US"/>
              </w:rPr>
            </w:pPr>
            <w:r w:rsidRPr="00D875A4">
              <w:rPr>
                <w:lang w:val="en-US"/>
              </w:rPr>
              <w:t>-0.032** (0.014)</w:t>
            </w:r>
          </w:p>
        </w:tc>
      </w:tr>
      <w:tr w:rsidR="00E72556" w:rsidRPr="00D875A4" w14:paraId="1A8A61B8" w14:textId="77777777" w:rsidTr="001C0813">
        <w:tc>
          <w:tcPr>
            <w:tcW w:w="1560" w:type="dxa"/>
            <w:vAlign w:val="center"/>
            <w:hideMark/>
          </w:tcPr>
          <w:p w14:paraId="15D05A6C" w14:textId="77777777" w:rsidR="00E72556" w:rsidRPr="00D875A4" w:rsidRDefault="00E72556" w:rsidP="00647C7D">
            <w:pPr>
              <w:spacing w:before="20" w:after="20"/>
              <w:jc w:val="left"/>
              <w:rPr>
                <w:lang w:val="en-US"/>
              </w:rPr>
            </w:pPr>
            <w:r w:rsidRPr="00D875A4">
              <w:rPr>
                <w:lang w:val="en-US"/>
              </w:rPr>
              <w:t>Firm/Year FE</w:t>
            </w:r>
          </w:p>
        </w:tc>
        <w:tc>
          <w:tcPr>
            <w:tcW w:w="992" w:type="dxa"/>
            <w:vAlign w:val="center"/>
            <w:hideMark/>
          </w:tcPr>
          <w:p w14:paraId="75298E43" w14:textId="77777777" w:rsidR="00E72556" w:rsidRPr="00D875A4" w:rsidRDefault="00E72556" w:rsidP="00647C7D">
            <w:pPr>
              <w:spacing w:before="20" w:after="20"/>
              <w:jc w:val="right"/>
              <w:rPr>
                <w:lang w:val="en-US"/>
              </w:rPr>
            </w:pPr>
            <w:r w:rsidRPr="00D875A4">
              <w:rPr>
                <w:lang w:val="en-US"/>
              </w:rPr>
              <w:t>Yes</w:t>
            </w:r>
          </w:p>
        </w:tc>
        <w:tc>
          <w:tcPr>
            <w:tcW w:w="992" w:type="dxa"/>
            <w:vAlign w:val="center"/>
            <w:hideMark/>
          </w:tcPr>
          <w:p w14:paraId="5643A6E9" w14:textId="77777777" w:rsidR="00E72556" w:rsidRPr="00D875A4" w:rsidRDefault="00E72556" w:rsidP="00647C7D">
            <w:pPr>
              <w:spacing w:before="20" w:after="20"/>
              <w:jc w:val="right"/>
              <w:rPr>
                <w:lang w:val="en-US"/>
              </w:rPr>
            </w:pPr>
            <w:r w:rsidRPr="00D875A4">
              <w:rPr>
                <w:lang w:val="en-US"/>
              </w:rPr>
              <w:t>Yes</w:t>
            </w:r>
          </w:p>
        </w:tc>
        <w:tc>
          <w:tcPr>
            <w:tcW w:w="992" w:type="dxa"/>
            <w:vAlign w:val="center"/>
            <w:hideMark/>
          </w:tcPr>
          <w:p w14:paraId="7C671B2C" w14:textId="77777777" w:rsidR="00E72556" w:rsidRPr="00D875A4" w:rsidRDefault="00E72556" w:rsidP="00647C7D">
            <w:pPr>
              <w:spacing w:before="20" w:after="20"/>
              <w:jc w:val="right"/>
              <w:rPr>
                <w:lang w:val="en-US"/>
              </w:rPr>
            </w:pPr>
            <w:r w:rsidRPr="00D875A4">
              <w:rPr>
                <w:lang w:val="en-US"/>
              </w:rPr>
              <w:t>Yes</w:t>
            </w:r>
          </w:p>
        </w:tc>
      </w:tr>
      <w:tr w:rsidR="00E72556" w:rsidRPr="00D875A4" w14:paraId="4DFD5702" w14:textId="77777777" w:rsidTr="001C0813">
        <w:tc>
          <w:tcPr>
            <w:tcW w:w="1560" w:type="dxa"/>
            <w:vAlign w:val="center"/>
            <w:hideMark/>
          </w:tcPr>
          <w:p w14:paraId="49D397B3" w14:textId="77777777" w:rsidR="00E72556" w:rsidRPr="00D875A4" w:rsidRDefault="00E72556" w:rsidP="00647C7D">
            <w:pPr>
              <w:spacing w:before="20" w:after="20"/>
              <w:jc w:val="left"/>
              <w:rPr>
                <w:lang w:val="en-US"/>
              </w:rPr>
            </w:pPr>
            <w:r w:rsidRPr="00D875A4">
              <w:rPr>
                <w:lang w:val="en-US"/>
              </w:rPr>
              <w:t>AR(1)/AR(2) p</w:t>
            </w:r>
          </w:p>
        </w:tc>
        <w:tc>
          <w:tcPr>
            <w:tcW w:w="992" w:type="dxa"/>
            <w:vAlign w:val="center"/>
            <w:hideMark/>
          </w:tcPr>
          <w:p w14:paraId="556F8F49" w14:textId="1C296D11" w:rsidR="00E72556" w:rsidRPr="00D875A4" w:rsidRDefault="00E72556" w:rsidP="00647C7D">
            <w:pPr>
              <w:spacing w:before="20" w:after="20"/>
              <w:jc w:val="right"/>
              <w:rPr>
                <w:lang w:val="en-US"/>
              </w:rPr>
            </w:pPr>
            <w:r w:rsidRPr="00D875A4">
              <w:rPr>
                <w:lang w:val="en-US"/>
              </w:rPr>
              <w:t>&lt;0.01/</w:t>
            </w:r>
            <w:r w:rsidR="001C0813" w:rsidRPr="00D875A4">
              <w:rPr>
                <w:lang w:val="en-US"/>
              </w:rPr>
              <w:br/>
            </w:r>
            <w:r w:rsidRPr="00D875A4">
              <w:rPr>
                <w:lang w:val="en-US"/>
              </w:rPr>
              <w:t>0.14</w:t>
            </w:r>
          </w:p>
        </w:tc>
        <w:tc>
          <w:tcPr>
            <w:tcW w:w="992" w:type="dxa"/>
            <w:vAlign w:val="center"/>
            <w:hideMark/>
          </w:tcPr>
          <w:p w14:paraId="33D8B485" w14:textId="7C49F1FA" w:rsidR="00E72556" w:rsidRPr="00D875A4" w:rsidRDefault="00E72556" w:rsidP="00647C7D">
            <w:pPr>
              <w:spacing w:before="20" w:after="20"/>
              <w:jc w:val="right"/>
              <w:rPr>
                <w:lang w:val="en-US"/>
              </w:rPr>
            </w:pPr>
            <w:r w:rsidRPr="00D875A4">
              <w:rPr>
                <w:lang w:val="en-US"/>
              </w:rPr>
              <w:t>&lt;0.01/</w:t>
            </w:r>
            <w:r w:rsidR="001C0813" w:rsidRPr="00D875A4">
              <w:rPr>
                <w:lang w:val="en-US"/>
              </w:rPr>
              <w:br/>
            </w:r>
            <w:r w:rsidRPr="00D875A4">
              <w:rPr>
                <w:lang w:val="en-US"/>
              </w:rPr>
              <w:t>0.17</w:t>
            </w:r>
          </w:p>
        </w:tc>
        <w:tc>
          <w:tcPr>
            <w:tcW w:w="992" w:type="dxa"/>
            <w:vAlign w:val="center"/>
            <w:hideMark/>
          </w:tcPr>
          <w:p w14:paraId="1B92135B" w14:textId="3BD4FBA2" w:rsidR="00E72556" w:rsidRPr="00D875A4" w:rsidRDefault="00E72556" w:rsidP="00647C7D">
            <w:pPr>
              <w:spacing w:before="20" w:after="20"/>
              <w:jc w:val="right"/>
              <w:rPr>
                <w:lang w:val="en-US"/>
              </w:rPr>
            </w:pPr>
            <w:r w:rsidRPr="00D875A4">
              <w:rPr>
                <w:lang w:val="en-US"/>
              </w:rPr>
              <w:t>&lt;0.01/</w:t>
            </w:r>
            <w:r w:rsidR="001C0813" w:rsidRPr="00D875A4">
              <w:rPr>
                <w:lang w:val="en-US"/>
              </w:rPr>
              <w:br/>
            </w:r>
            <w:r w:rsidRPr="00D875A4">
              <w:rPr>
                <w:lang w:val="en-US"/>
              </w:rPr>
              <w:t>0.16</w:t>
            </w:r>
          </w:p>
        </w:tc>
      </w:tr>
      <w:tr w:rsidR="00E72556" w:rsidRPr="00D875A4" w14:paraId="4DED6507" w14:textId="77777777" w:rsidTr="001C0813">
        <w:tc>
          <w:tcPr>
            <w:tcW w:w="1560" w:type="dxa"/>
            <w:vAlign w:val="center"/>
            <w:hideMark/>
          </w:tcPr>
          <w:p w14:paraId="0AFFD679" w14:textId="77777777" w:rsidR="00E72556" w:rsidRPr="00D875A4" w:rsidRDefault="00E72556" w:rsidP="00647C7D">
            <w:pPr>
              <w:spacing w:before="20" w:after="20"/>
              <w:jc w:val="left"/>
              <w:rPr>
                <w:lang w:val="en-US"/>
              </w:rPr>
            </w:pPr>
            <w:r w:rsidRPr="00D875A4">
              <w:rPr>
                <w:lang w:val="en-US"/>
              </w:rPr>
              <w:t>Hansen p</w:t>
            </w:r>
          </w:p>
        </w:tc>
        <w:tc>
          <w:tcPr>
            <w:tcW w:w="992" w:type="dxa"/>
            <w:vAlign w:val="center"/>
            <w:hideMark/>
          </w:tcPr>
          <w:p w14:paraId="13D3A545" w14:textId="77777777" w:rsidR="00E72556" w:rsidRPr="00D875A4" w:rsidRDefault="00E72556" w:rsidP="00647C7D">
            <w:pPr>
              <w:spacing w:before="20" w:after="20"/>
              <w:jc w:val="right"/>
              <w:rPr>
                <w:lang w:val="en-US"/>
              </w:rPr>
            </w:pPr>
            <w:r w:rsidRPr="00D875A4">
              <w:rPr>
                <w:lang w:val="en-US"/>
              </w:rPr>
              <w:t>0.30</w:t>
            </w:r>
          </w:p>
        </w:tc>
        <w:tc>
          <w:tcPr>
            <w:tcW w:w="992" w:type="dxa"/>
            <w:vAlign w:val="center"/>
            <w:hideMark/>
          </w:tcPr>
          <w:p w14:paraId="3977FC38" w14:textId="77777777" w:rsidR="00E72556" w:rsidRPr="00D875A4" w:rsidRDefault="00E72556" w:rsidP="00647C7D">
            <w:pPr>
              <w:spacing w:before="20" w:after="20"/>
              <w:jc w:val="right"/>
              <w:rPr>
                <w:lang w:val="en-US"/>
              </w:rPr>
            </w:pPr>
            <w:r w:rsidRPr="00D875A4">
              <w:rPr>
                <w:lang w:val="en-US"/>
              </w:rPr>
              <w:t>0.26</w:t>
            </w:r>
          </w:p>
        </w:tc>
        <w:tc>
          <w:tcPr>
            <w:tcW w:w="992" w:type="dxa"/>
            <w:vAlign w:val="center"/>
            <w:hideMark/>
          </w:tcPr>
          <w:p w14:paraId="4B13B401" w14:textId="77777777" w:rsidR="00E72556" w:rsidRPr="00D875A4" w:rsidRDefault="00E72556" w:rsidP="00647C7D">
            <w:pPr>
              <w:spacing w:before="20" w:after="20"/>
              <w:jc w:val="right"/>
              <w:rPr>
                <w:lang w:val="en-US"/>
              </w:rPr>
            </w:pPr>
            <w:r w:rsidRPr="00D875A4">
              <w:rPr>
                <w:lang w:val="en-US"/>
              </w:rPr>
              <w:t>0.28</w:t>
            </w:r>
          </w:p>
        </w:tc>
      </w:tr>
      <w:tr w:rsidR="00E72556" w:rsidRPr="00D875A4" w14:paraId="4374C944" w14:textId="77777777" w:rsidTr="001C0813">
        <w:tc>
          <w:tcPr>
            <w:tcW w:w="1560" w:type="dxa"/>
            <w:vAlign w:val="center"/>
            <w:hideMark/>
          </w:tcPr>
          <w:p w14:paraId="27498F24" w14:textId="3F7B853B" w:rsidR="00E72556" w:rsidRPr="00D875A4" w:rsidRDefault="00E72556" w:rsidP="00647C7D">
            <w:pPr>
              <w:spacing w:before="20" w:after="20"/>
              <w:jc w:val="left"/>
              <w:rPr>
                <w:lang w:val="en-US"/>
              </w:rPr>
            </w:pPr>
            <w:r w:rsidRPr="00D875A4">
              <w:rPr>
                <w:lang w:val="en-US"/>
              </w:rPr>
              <w:t xml:space="preserve">Chow F-test p (vs. </w:t>
            </w:r>
            <w:r w:rsidR="001C0813" w:rsidRPr="00D875A4">
              <w:rPr>
                <w:lang w:val="en-US"/>
              </w:rPr>
              <w:t>Manufacturing</w:t>
            </w:r>
            <w:r w:rsidRPr="00D875A4">
              <w:rPr>
                <w:lang w:val="en-US"/>
              </w:rPr>
              <w:t>)</w:t>
            </w:r>
          </w:p>
        </w:tc>
        <w:tc>
          <w:tcPr>
            <w:tcW w:w="992" w:type="dxa"/>
            <w:vAlign w:val="center"/>
            <w:hideMark/>
          </w:tcPr>
          <w:p w14:paraId="4C052A80" w14:textId="77777777" w:rsidR="00E72556" w:rsidRPr="00D875A4" w:rsidRDefault="00E72556" w:rsidP="00647C7D">
            <w:pPr>
              <w:spacing w:before="20" w:after="20"/>
              <w:jc w:val="right"/>
              <w:rPr>
                <w:lang w:val="en-US"/>
              </w:rPr>
            </w:pPr>
            <w:r w:rsidRPr="00D875A4">
              <w:rPr>
                <w:lang w:val="en-US"/>
              </w:rPr>
              <w:t>-</w:t>
            </w:r>
          </w:p>
        </w:tc>
        <w:tc>
          <w:tcPr>
            <w:tcW w:w="992" w:type="dxa"/>
            <w:vAlign w:val="center"/>
            <w:hideMark/>
          </w:tcPr>
          <w:p w14:paraId="7D3C42D8" w14:textId="77777777" w:rsidR="00E72556" w:rsidRPr="00D875A4" w:rsidRDefault="00E72556" w:rsidP="00647C7D">
            <w:pPr>
              <w:spacing w:before="20" w:after="20"/>
              <w:jc w:val="right"/>
              <w:rPr>
                <w:lang w:val="en-US"/>
              </w:rPr>
            </w:pPr>
            <w:r w:rsidRPr="00D875A4">
              <w:rPr>
                <w:lang w:val="en-US"/>
              </w:rPr>
              <w:t>0.03</w:t>
            </w:r>
          </w:p>
        </w:tc>
        <w:tc>
          <w:tcPr>
            <w:tcW w:w="992" w:type="dxa"/>
            <w:vAlign w:val="center"/>
            <w:hideMark/>
          </w:tcPr>
          <w:p w14:paraId="0BDD4A37" w14:textId="77777777" w:rsidR="00E72556" w:rsidRPr="00D875A4" w:rsidRDefault="00E72556" w:rsidP="00647C7D">
            <w:pPr>
              <w:spacing w:before="20" w:after="20"/>
              <w:jc w:val="right"/>
              <w:rPr>
                <w:lang w:val="en-US"/>
              </w:rPr>
            </w:pPr>
            <w:r w:rsidRPr="00D875A4">
              <w:rPr>
                <w:lang w:val="en-US"/>
              </w:rPr>
              <w:t>0.05</w:t>
            </w:r>
          </w:p>
        </w:tc>
      </w:tr>
    </w:tbl>
    <w:p w14:paraId="197C1A55" w14:textId="4E9F461B" w:rsidR="00865CED" w:rsidRPr="00D875A4" w:rsidRDefault="00DF0F60" w:rsidP="00647C7D">
      <w:pPr>
        <w:pStyle w:val="Content"/>
        <w:jc w:val="left"/>
        <w:rPr>
          <w:i/>
          <w:iCs/>
          <w:lang w:val="en-US"/>
        </w:rPr>
      </w:pPr>
      <w:r w:rsidRPr="00D875A4">
        <w:rPr>
          <w:i/>
          <w:iCs/>
          <w:lang w:val="en-US"/>
        </w:rPr>
        <w:t xml:space="preserve">Notes: As in Table </w:t>
      </w:r>
      <w:r w:rsidR="00016EAE">
        <w:rPr>
          <w:i/>
          <w:iCs/>
          <w:lang w:val="en-US"/>
        </w:rPr>
        <w:t>3</w:t>
      </w:r>
      <w:r w:rsidRPr="00D875A4">
        <w:rPr>
          <w:i/>
          <w:iCs/>
          <w:lang w:val="en-US"/>
        </w:rPr>
        <w:t>. Chow tests compare subgroups.</w:t>
      </w:r>
      <w:r w:rsidR="0068548D" w:rsidRPr="00D875A4">
        <w:rPr>
          <w:i/>
          <w:iCs/>
          <w:lang w:val="en-US"/>
        </w:rPr>
        <w:t xml:space="preserve"> </w:t>
      </w:r>
    </w:p>
    <w:p w14:paraId="20D25BA1" w14:textId="2D4570AD" w:rsidR="0068548D" w:rsidRDefault="0068548D" w:rsidP="004B1DAB">
      <w:pPr>
        <w:pStyle w:val="Content"/>
        <w:rPr>
          <w:lang w:val="en-US"/>
        </w:rPr>
      </w:pPr>
      <w:r w:rsidRPr="00D875A4">
        <w:rPr>
          <w:lang w:val="en-US"/>
        </w:rPr>
        <w:t>Sub-sample analysis shows heterogeneity</w:t>
      </w:r>
      <w:r w:rsidR="00FA03AE" w:rsidRPr="00D875A4">
        <w:rPr>
          <w:lang w:val="en-US"/>
        </w:rPr>
        <w:t>. In particular, c</w:t>
      </w:r>
      <w:r w:rsidRPr="00D875A4">
        <w:rPr>
          <w:lang w:val="en-US"/>
        </w:rPr>
        <w:t>yclical sectors (manufacturing/real estate) have stronger negative effects (β_LEV1 = -0.162 for ROA, p&lt;0.01) vs. stable (utilities/consumer staples: -0.092, p&lt;0.05). F-test p=0.03 confirms differences.</w:t>
      </w:r>
    </w:p>
    <w:p w14:paraId="5C006AB2" w14:textId="7B807CAA" w:rsidR="003C3D19" w:rsidRPr="003C3D19" w:rsidRDefault="003C3D19" w:rsidP="004B1DAB">
      <w:pPr>
        <w:pStyle w:val="Content"/>
        <w:rPr>
          <w:color w:val="FF0000"/>
          <w:lang w:val="en-US"/>
        </w:rPr>
      </w:pPr>
      <w:r w:rsidRPr="003C3D19">
        <w:rPr>
          <w:color w:val="FF0000"/>
          <w:lang w:val="en-US"/>
        </w:rPr>
        <w:t>Findings are consistent across alternative performance metrics (ROE, EPS), leverage measures (debt-to-equity), and subsample exclusions (e.g., post-2019 for COVID effects). Instrument validity holds per tests.</w:t>
      </w:r>
    </w:p>
    <w:p w14:paraId="44FBF696" w14:textId="7BBA4B1C" w:rsidR="00A76903" w:rsidRPr="00D875A4" w:rsidRDefault="00A76903" w:rsidP="004B1DAB">
      <w:pPr>
        <w:pStyle w:val="Heading2"/>
      </w:pPr>
      <w:r w:rsidRPr="00D875A4">
        <w:t xml:space="preserve">4.3. </w:t>
      </w:r>
      <w:r w:rsidR="000B2FA4" w:rsidRPr="000B2FA4">
        <w:t>Interpretation</w:t>
      </w:r>
      <w:r w:rsidR="000B2FA4">
        <w:t xml:space="preserve"> of results</w:t>
      </w:r>
    </w:p>
    <w:p w14:paraId="775DCFC3" w14:textId="3C2777D9" w:rsidR="006F70E6" w:rsidRPr="00DF1C60" w:rsidRDefault="002D38B6" w:rsidP="00576358">
      <w:pPr>
        <w:pStyle w:val="Content"/>
        <w:rPr>
          <w:color w:val="FF0000"/>
          <w:lang w:val="en-US"/>
        </w:rPr>
      </w:pPr>
      <w:r w:rsidRPr="00DF1C60">
        <w:rPr>
          <w:color w:val="FF0000"/>
          <w:lang w:val="en-US"/>
        </w:rPr>
        <w:t>The research results align with theories, refining them for emerging markets. The “institutional amplification effect” posits that weak institutions (e.g., poor enforcement) and volatility (e.g., inflation 4-6%) magnify leverage costs: bankruptcy risks rise 2-3x in unstable periods, agency conflicts intensify via state ownership (30-50% in sample), and signaling/asymmetry penalties deter investment. We propose an analytical framework for emerging economies: Leverage Effect = Tax Shields - (Bankruptcy + Agency + Asymmetry) × Institutional Weakness Moderator, where the moderator&gt;1 in Vietnam, explaining dominance of negatives. This generalizes beyond context, offering testable mechanisms for ASEAN studies. Non-linear and sectoral extensions uncover inverted-U dynamics and industry variations, enhancing empirical depth beyond prior confirmatory studies</w:t>
      </w:r>
      <w:r w:rsidRPr="00DF1C60">
        <w:rPr>
          <w:color w:val="FF0000"/>
          <w:vertAlign w:val="superscript"/>
          <w:lang w:val="en-US"/>
        </w:rPr>
        <w:t>8,12</w:t>
      </w:r>
      <w:r w:rsidRPr="00DF1C60">
        <w:rPr>
          <w:color w:val="FF0000"/>
          <w:lang w:val="en-US"/>
        </w:rPr>
        <w:t>. This contributes to theory amid macroeconomic instability</w:t>
      </w:r>
      <w:r w:rsidRPr="00DF1C60">
        <w:rPr>
          <w:color w:val="FF0000"/>
          <w:vertAlign w:val="superscript"/>
          <w:lang w:val="en-US"/>
        </w:rPr>
        <w:t>5</w:t>
      </w:r>
      <w:r w:rsidRPr="00DF1C60">
        <w:rPr>
          <w:color w:val="FF0000"/>
          <w:lang w:val="en-US"/>
        </w:rPr>
        <w:t>.</w:t>
      </w:r>
    </w:p>
    <w:p w14:paraId="6D4A4F3E" w14:textId="77777777" w:rsidR="00A76903" w:rsidRPr="00D875A4" w:rsidRDefault="00A76903" w:rsidP="004B1DAB">
      <w:pPr>
        <w:pStyle w:val="Heading2"/>
      </w:pPr>
      <w:r w:rsidRPr="00D875A4">
        <w:t>4.4. Policy and Managerial Implications</w:t>
      </w:r>
    </w:p>
    <w:p w14:paraId="58795BA9" w14:textId="77777777" w:rsidR="00CE7B6D" w:rsidRPr="00D875A4" w:rsidRDefault="00CE7B6D" w:rsidP="00CE7B6D">
      <w:pPr>
        <w:pStyle w:val="Content"/>
        <w:rPr>
          <w:lang w:val="en-US"/>
        </w:rPr>
      </w:pPr>
      <w:r w:rsidRPr="00D875A4">
        <w:rPr>
          <w:lang w:val="en-US"/>
        </w:rPr>
        <w:t>The findings offer targeted, evidence-based implications for stakeholders, grounded in the negative leverage effects and heterogeneity, to foster sustainable performance in Vietnam's emerging market.</w:t>
      </w:r>
    </w:p>
    <w:p w14:paraId="42BE53E9" w14:textId="6DE027D2" w:rsidR="00CE7B6D" w:rsidRPr="00D875A4" w:rsidRDefault="00CE7B6D" w:rsidP="00CE7B6D">
      <w:pPr>
        <w:pStyle w:val="Content"/>
        <w:rPr>
          <w:lang w:val="en-US"/>
        </w:rPr>
      </w:pPr>
      <w:r w:rsidRPr="00D875A4">
        <w:rPr>
          <w:lang w:val="en-US"/>
        </w:rPr>
        <w:t>For managers, the inverted-U threshold (~0.42) implies optimizing leverage at moderate levels to harness initial tax shields and discipline benefits</w:t>
      </w:r>
      <w:r w:rsidR="001B1780" w:rsidRPr="001B1780">
        <w:rPr>
          <w:color w:val="FF0000"/>
          <w:vertAlign w:val="superscript"/>
          <w:lang w:val="en-US"/>
        </w:rPr>
        <w:t>7</w:t>
      </w:r>
      <w:r w:rsidRPr="00D875A4">
        <w:rPr>
          <w:lang w:val="en-US"/>
        </w:rPr>
        <w:t>, but capping below this in cyclical sectors like manufacturing, where impacts are 75% stronger (per Chow test), to avoid amplified distress costs</w:t>
      </w:r>
      <w:r w:rsidR="005703FE" w:rsidRPr="005703FE">
        <w:rPr>
          <w:color w:val="FF0000"/>
          <w:vertAlign w:val="superscript"/>
          <w:lang w:val="en-US"/>
        </w:rPr>
        <w:t>18</w:t>
      </w:r>
      <w:r w:rsidRPr="00D875A4">
        <w:rPr>
          <w:lang w:val="en-US"/>
        </w:rPr>
        <w:t>. Practically, this advocates shifting toward retained earnings or equity financing under Pecking Order logic</w:t>
      </w:r>
      <w:r w:rsidR="009F73AF" w:rsidRPr="009F73AF">
        <w:rPr>
          <w:color w:val="FF0000"/>
          <w:vertAlign w:val="superscript"/>
          <w:lang w:val="en-US"/>
        </w:rPr>
        <w:t>13</w:t>
      </w:r>
      <w:r w:rsidRPr="00D875A4">
        <w:rPr>
          <w:lang w:val="en-US"/>
        </w:rPr>
        <w:t>, supplemented by liquidity buffers (positive coefficient: 1% increase offsets 0.025% ROA loss) and scenario-based stress testing against rate volatility</w:t>
      </w:r>
      <w:r w:rsidR="00FD3ECC" w:rsidRPr="00D875A4">
        <w:rPr>
          <w:lang w:val="en-US"/>
        </w:rPr>
        <w:t xml:space="preserve"> - </w:t>
      </w:r>
      <w:r w:rsidRPr="00D875A4">
        <w:rPr>
          <w:lang w:val="en-US"/>
        </w:rPr>
        <w:t>critical for resilience in state-dominated firms prone to agency entrenchment</w:t>
      </w:r>
      <w:r w:rsidR="009F73AF" w:rsidRPr="009F73AF">
        <w:rPr>
          <w:color w:val="FF0000"/>
          <w:vertAlign w:val="superscript"/>
          <w:lang w:val="en-US"/>
        </w:rPr>
        <w:t>15</w:t>
      </w:r>
      <w:r w:rsidRPr="00D875A4">
        <w:rPr>
          <w:lang w:val="en-US"/>
        </w:rPr>
        <w:t>.</w:t>
      </w:r>
    </w:p>
    <w:p w14:paraId="1AA5F29B" w14:textId="59EDF2DD" w:rsidR="00CE7B6D" w:rsidRPr="00D875A4" w:rsidRDefault="00CE7B6D" w:rsidP="00CE7B6D">
      <w:pPr>
        <w:pStyle w:val="Content"/>
        <w:rPr>
          <w:lang w:val="en-US"/>
        </w:rPr>
      </w:pPr>
      <w:r w:rsidRPr="00D875A4">
        <w:rPr>
          <w:lang w:val="en-US"/>
        </w:rPr>
        <w:lastRenderedPageBreak/>
        <w:t>Investors should view high leverage as a distress signal per Signaling Theory</w:t>
      </w:r>
      <w:r w:rsidR="00CF409A" w:rsidRPr="00CF409A">
        <w:rPr>
          <w:color w:val="FF0000"/>
          <w:vertAlign w:val="superscript"/>
          <w:lang w:val="en-US"/>
        </w:rPr>
        <w:t>17</w:t>
      </w:r>
      <w:r w:rsidRPr="00D875A4">
        <w:rPr>
          <w:lang w:val="en-US"/>
        </w:rPr>
        <w:t>, prioritizing low-debt portfolios in growth-oriented sectors (0.032% ROA uplift per 1% revenue growth), integrated with tangibility metrics for valuation</w:t>
      </w:r>
      <w:r w:rsidR="00CF409A" w:rsidRPr="00CF409A">
        <w:rPr>
          <w:color w:val="FF0000"/>
          <w:vertAlign w:val="superscript"/>
          <w:lang w:val="en-US"/>
        </w:rPr>
        <w:t>9</w:t>
      </w:r>
      <w:r w:rsidRPr="00D875A4">
        <w:rPr>
          <w:lang w:val="en-US"/>
        </w:rPr>
        <w:t>. This reduces exposure to defaults, especially post-COVID, enhancing returns in nascent exchanges like HOSE/HNX</w:t>
      </w:r>
      <w:r w:rsidR="00CF409A" w:rsidRPr="00CF409A">
        <w:rPr>
          <w:color w:val="FF0000"/>
          <w:vertAlign w:val="superscript"/>
          <w:lang w:val="en-US"/>
        </w:rPr>
        <w:t>3</w:t>
      </w:r>
      <w:r w:rsidRPr="00D875A4">
        <w:rPr>
          <w:lang w:val="en-US"/>
        </w:rPr>
        <w:t>.</w:t>
      </w:r>
    </w:p>
    <w:p w14:paraId="56CEEDC4" w14:textId="6B22670F" w:rsidR="00A76903" w:rsidRPr="00D875A4" w:rsidRDefault="00CE7B6D" w:rsidP="00CE7B6D">
      <w:pPr>
        <w:pStyle w:val="Content"/>
        <w:rPr>
          <w:lang w:val="en-US"/>
        </w:rPr>
      </w:pPr>
      <w:r w:rsidRPr="00D875A4">
        <w:rPr>
          <w:lang w:val="en-US"/>
        </w:rPr>
        <w:t>For policymakers at the State Bank of Vietnam and State Securities Commission, the results highlight systemic risks: weak institutions exacerbate agency and asymmetry costs</w:t>
      </w:r>
      <w:r w:rsidR="00ED7194" w:rsidRPr="00ED7194">
        <w:rPr>
          <w:color w:val="FF0000"/>
          <w:vertAlign w:val="superscript"/>
          <w:lang w:val="en-US"/>
        </w:rPr>
        <w:t>2</w:t>
      </w:r>
      <w:r w:rsidRPr="00D875A4">
        <w:rPr>
          <w:lang w:val="en-US"/>
        </w:rPr>
        <w:t>, necessitating reforms like mandatory disclosures to mitigate information gaps</w:t>
      </w:r>
      <w:r w:rsidR="00ED7194" w:rsidRPr="00ED7194">
        <w:rPr>
          <w:color w:val="FF0000"/>
          <w:vertAlign w:val="superscript"/>
          <w:lang w:val="en-US"/>
        </w:rPr>
        <w:t>12</w:t>
      </w:r>
      <w:r w:rsidR="00ED7194">
        <w:rPr>
          <w:lang w:val="en-US"/>
        </w:rPr>
        <w:t xml:space="preserve"> </w:t>
      </w:r>
      <w:r w:rsidRPr="00D875A4">
        <w:rPr>
          <w:lang w:val="en-US"/>
        </w:rPr>
        <w:t>and tax incentives for equity issuance to curb debt reliance. Sector-specific leverage caps, informed by our heterogeneity, could prevent aggregate distress, potentially adding 0.5-1% to GDP via stability</w:t>
      </w:r>
      <w:r w:rsidR="00CB3B0C" w:rsidRPr="00CB3B0C">
        <w:rPr>
          <w:color w:val="FF0000"/>
          <w:vertAlign w:val="superscript"/>
          <w:lang w:val="en-US"/>
        </w:rPr>
        <w:t>8</w:t>
      </w:r>
      <w:r w:rsidRPr="00D875A4">
        <w:rPr>
          <w:lang w:val="en-US"/>
        </w:rPr>
        <w:t>- aligning with ASEAN harmonization goals amid inflation pressures</w:t>
      </w:r>
      <w:r w:rsidR="003D3033" w:rsidRPr="003D3033">
        <w:rPr>
          <w:color w:val="FF0000"/>
          <w:vertAlign w:val="superscript"/>
          <w:lang w:val="en-US"/>
        </w:rPr>
        <w:t>6</w:t>
      </w:r>
      <w:r w:rsidRPr="00D875A4">
        <w:rPr>
          <w:lang w:val="en-US"/>
        </w:rPr>
        <w:t>. Overall, these implications promote balanced structures, adapting theories to Vietnam's context for inclusive growth.</w:t>
      </w:r>
    </w:p>
    <w:p w14:paraId="5B8455F0" w14:textId="5AEE8EDB" w:rsidR="00A76903" w:rsidRPr="00D875A4" w:rsidRDefault="00A76903" w:rsidP="001276CA">
      <w:pPr>
        <w:pStyle w:val="Heading2"/>
      </w:pPr>
      <w:r w:rsidRPr="00D875A4">
        <w:t xml:space="preserve">4.5. Limitations and </w:t>
      </w:r>
      <w:r w:rsidR="009A3AF8" w:rsidRPr="00D875A4">
        <w:t>f</w:t>
      </w:r>
      <w:r w:rsidRPr="00D875A4">
        <w:t xml:space="preserve">uture </w:t>
      </w:r>
      <w:r w:rsidR="009A3AF8" w:rsidRPr="00D875A4">
        <w:t>r</w:t>
      </w:r>
      <w:r w:rsidRPr="00D875A4">
        <w:t>esearch</w:t>
      </w:r>
    </w:p>
    <w:p w14:paraId="278A6A9D" w14:textId="1C51AD30" w:rsidR="00D73F04" w:rsidRPr="00D875A4" w:rsidRDefault="00D73F04" w:rsidP="00D73F04">
      <w:pPr>
        <w:pStyle w:val="Heading1"/>
        <w:rPr>
          <w:b w:val="0"/>
          <w:bCs w:val="0"/>
          <w:caps w:val="0"/>
          <w:szCs w:val="22"/>
          <w:lang w:val="en-US"/>
        </w:rPr>
      </w:pPr>
      <w:bookmarkStart w:id="7" w:name="_heading=h.lnxbz9" w:colFirst="0" w:colLast="0"/>
      <w:bookmarkEnd w:id="7"/>
      <w:r w:rsidRPr="00D875A4">
        <w:rPr>
          <w:b w:val="0"/>
          <w:bCs w:val="0"/>
          <w:caps w:val="0"/>
          <w:szCs w:val="22"/>
          <w:lang w:val="en-US"/>
        </w:rPr>
        <w:t>Despite methodological rigor, including GMM for endogeneity and extensions for originality, limitations persist that warrant cautious interpretation and guide extensions. The sample's focus on non-financial listed firms excludes financial institutions with regulatory-driven leverage and unlisted enterprises (90% of Vietnam's economy), introducing survivorship bias toward better-governed entities</w:t>
      </w:r>
      <w:r w:rsidR="00A2208B" w:rsidRPr="00A2208B">
        <w:rPr>
          <w:b w:val="0"/>
          <w:bCs w:val="0"/>
          <w:caps w:val="0"/>
          <w:color w:val="FF0000"/>
          <w:szCs w:val="22"/>
          <w:vertAlign w:val="superscript"/>
          <w:lang w:val="en-US"/>
        </w:rPr>
        <w:t>19</w:t>
      </w:r>
      <w:r w:rsidRPr="00D875A4">
        <w:rPr>
          <w:b w:val="0"/>
          <w:bCs w:val="0"/>
          <w:caps w:val="0"/>
          <w:szCs w:val="22"/>
          <w:lang w:val="en-US"/>
        </w:rPr>
        <w:t xml:space="preserve"> - potentially understating effects in opaque segments, though mitigated by our large panel. The 2006-2022 data cutoff omits recent dynamics like 2023-2025 inflation peaks (5.5%) and digital finance shifts, which may alter leverage sensitivities</w:t>
      </w:r>
      <w:r w:rsidR="00BB2B4A" w:rsidRPr="00BB2B4A">
        <w:rPr>
          <w:b w:val="0"/>
          <w:bCs w:val="0"/>
          <w:caps w:val="0"/>
          <w:color w:val="FF0000"/>
          <w:szCs w:val="22"/>
          <w:vertAlign w:val="superscript"/>
          <w:lang w:val="en-US"/>
        </w:rPr>
        <w:t>6</w:t>
      </w:r>
      <w:r w:rsidRPr="00D875A4">
        <w:rPr>
          <w:b w:val="0"/>
          <w:bCs w:val="0"/>
          <w:caps w:val="0"/>
          <w:szCs w:val="22"/>
          <w:lang w:val="en-US"/>
        </w:rPr>
        <w:t>; while MAR assumptions (Little's test p=0.21) justify missing data handling, non-random biases in emerging-market reporting remain a concern</w:t>
      </w:r>
      <w:r w:rsidR="001F25B4" w:rsidRPr="001F25B4">
        <w:rPr>
          <w:b w:val="0"/>
          <w:bCs w:val="0"/>
          <w:caps w:val="0"/>
          <w:color w:val="FF0000"/>
          <w:szCs w:val="22"/>
          <w:vertAlign w:val="superscript"/>
          <w:lang w:val="en-US"/>
        </w:rPr>
        <w:t>14</w:t>
      </w:r>
      <w:r w:rsidRPr="00D875A4">
        <w:rPr>
          <w:b w:val="0"/>
          <w:bCs w:val="0"/>
          <w:caps w:val="0"/>
          <w:szCs w:val="22"/>
          <w:lang w:val="en-US"/>
        </w:rPr>
        <w:t>. Non-linear analyses assume quadratic forms, underexploring higher-order or threshold-specific dynamics, and heterogeneity is sectoral but not governance-moderated</w:t>
      </w:r>
      <w:r w:rsidR="00AB0D96" w:rsidRPr="00AB0D96">
        <w:rPr>
          <w:b w:val="0"/>
          <w:bCs w:val="0"/>
          <w:caps w:val="0"/>
          <w:color w:val="FF0000"/>
          <w:szCs w:val="22"/>
          <w:vertAlign w:val="superscript"/>
          <w:lang w:val="en-US"/>
        </w:rPr>
        <w:t>16</w:t>
      </w:r>
      <w:r w:rsidRPr="00D875A4">
        <w:rPr>
          <w:b w:val="0"/>
          <w:bCs w:val="0"/>
          <w:caps w:val="0"/>
          <w:szCs w:val="22"/>
          <w:lang w:val="en-US"/>
        </w:rPr>
        <w:t>.</w:t>
      </w:r>
    </w:p>
    <w:p w14:paraId="1C0811EF" w14:textId="4C4A2FF1" w:rsidR="00ED376E" w:rsidRPr="00D875A4" w:rsidRDefault="00D73F04" w:rsidP="00D73F04">
      <w:pPr>
        <w:pStyle w:val="Heading1"/>
        <w:rPr>
          <w:b w:val="0"/>
          <w:bCs w:val="0"/>
          <w:caps w:val="0"/>
          <w:szCs w:val="22"/>
          <w:lang w:val="en-US"/>
        </w:rPr>
      </w:pPr>
      <w:r w:rsidRPr="00D875A4">
        <w:rPr>
          <w:b w:val="0"/>
          <w:bCs w:val="0"/>
          <w:caps w:val="0"/>
          <w:szCs w:val="22"/>
          <w:lang w:val="en-US"/>
        </w:rPr>
        <w:t>To overcome these, future research should emphasize one primary direction: cross-country ASEAN comparisons (e.g., Vietnam vs. Thailand's stronger institutions) to evaluate contextual moderators like governance quality on leverage effects, using matched sampling for unlisted/financial firms and advanced techniques like threshold regression</w:t>
      </w:r>
      <w:r w:rsidR="009A452C" w:rsidRPr="009A452C">
        <w:rPr>
          <w:b w:val="0"/>
          <w:bCs w:val="0"/>
          <w:caps w:val="0"/>
          <w:color w:val="FF0000"/>
          <w:szCs w:val="22"/>
          <w:vertAlign w:val="superscript"/>
          <w:lang w:val="en-US"/>
        </w:rPr>
        <w:t>8</w:t>
      </w:r>
      <w:r w:rsidRPr="00D875A4">
        <w:rPr>
          <w:b w:val="0"/>
          <w:bCs w:val="0"/>
          <w:caps w:val="0"/>
          <w:szCs w:val="22"/>
          <w:lang w:val="en-US"/>
        </w:rPr>
        <w:t>. Secondary extensions could test governance interactions (e.g., board independence attenuating agency costs</w:t>
      </w:r>
      <w:r w:rsidR="0075649C" w:rsidRPr="0075649C">
        <w:rPr>
          <w:b w:val="0"/>
          <w:bCs w:val="0"/>
          <w:caps w:val="0"/>
          <w:color w:val="FF0000"/>
          <w:szCs w:val="22"/>
          <w:vertAlign w:val="superscript"/>
          <w:lang w:val="en-US"/>
        </w:rPr>
        <w:t>2</w:t>
      </w:r>
      <w:r w:rsidRPr="00D875A4">
        <w:rPr>
          <w:b w:val="0"/>
          <w:bCs w:val="0"/>
          <w:caps w:val="0"/>
          <w:szCs w:val="22"/>
          <w:lang w:val="en-US"/>
        </w:rPr>
        <w:t xml:space="preserve"> and non-</w:t>
      </w:r>
      <w:r w:rsidRPr="00D875A4">
        <w:rPr>
          <w:b w:val="0"/>
          <w:bCs w:val="0"/>
          <w:caps w:val="0"/>
          <w:szCs w:val="22"/>
          <w:lang w:val="en-US"/>
        </w:rPr>
        <w:t>linear thresholds in post-2023 data - enriching global theory and informing regional policy</w:t>
      </w:r>
      <w:r w:rsidR="0075649C" w:rsidRPr="0075649C">
        <w:rPr>
          <w:b w:val="0"/>
          <w:bCs w:val="0"/>
          <w:caps w:val="0"/>
          <w:color w:val="FF0000"/>
          <w:szCs w:val="22"/>
          <w:vertAlign w:val="superscript"/>
          <w:lang w:val="en-US"/>
        </w:rPr>
        <w:t>18</w:t>
      </w:r>
      <w:r w:rsidR="0075649C">
        <w:rPr>
          <w:b w:val="0"/>
          <w:bCs w:val="0"/>
          <w:caps w:val="0"/>
          <w:szCs w:val="22"/>
          <w:lang w:val="en-US"/>
        </w:rPr>
        <w:t>.</w:t>
      </w:r>
    </w:p>
    <w:p w14:paraId="08855D01" w14:textId="6D70D0D3" w:rsidR="00657418" w:rsidRPr="00D875A4" w:rsidRDefault="00FE462A" w:rsidP="00ED376E">
      <w:pPr>
        <w:pStyle w:val="Heading1"/>
      </w:pPr>
      <w:r w:rsidRPr="00D875A4">
        <w:t xml:space="preserve">5. </w:t>
      </w:r>
      <w:r w:rsidR="001276CA" w:rsidRPr="00D875A4">
        <w:t>CONCLUSION</w:t>
      </w:r>
    </w:p>
    <w:p w14:paraId="61028FD1" w14:textId="082B26A3" w:rsidR="004D3FFF" w:rsidRPr="002275CD" w:rsidRDefault="002275CD" w:rsidP="00342478">
      <w:pPr>
        <w:pStyle w:val="Content"/>
        <w:rPr>
          <w:color w:val="FF0000"/>
          <w:lang w:val="en-US"/>
        </w:rPr>
      </w:pPr>
      <w:r w:rsidRPr="002275CD">
        <w:rPr>
          <w:color w:val="FF0000"/>
          <w:lang w:val="en-US"/>
        </w:rPr>
        <w:t xml:space="preserve">This study provides empirical evidence of a negative relationship between financial leverage and corporate performance among Vietnam's publicly-listed non-financial firms over 2006-2022, consistent across ROA, ROE, and EPS, with pronounced effects in cyclical </w:t>
      </w:r>
      <w:r w:rsidR="00946BC9" w:rsidRPr="002275CD">
        <w:rPr>
          <w:color w:val="FF0000"/>
          <w:lang w:val="en-US"/>
        </w:rPr>
        <w:t>industries. The</w:t>
      </w:r>
      <w:r w:rsidRPr="002275CD">
        <w:rPr>
          <w:color w:val="FF0000"/>
          <w:lang w:val="en-US"/>
        </w:rPr>
        <w:t xml:space="preserve"> key contribution lies in contextual refinement of capital structure theories (Trade-off, Pecking Order, Agency, Signaling) for emerging markets, where institutional weaknesses amplify costs over benefits</w:t>
      </w:r>
      <w:r w:rsidR="00B07E64" w:rsidRPr="00B07E64">
        <w:rPr>
          <w:color w:val="FF0000"/>
          <w:vertAlign w:val="superscript"/>
          <w:lang w:val="en-US"/>
        </w:rPr>
        <w:t>7,13,5,17</w:t>
      </w:r>
      <w:r w:rsidR="00B07E64">
        <w:rPr>
          <w:color w:val="FF0000"/>
          <w:lang w:val="en-US"/>
        </w:rPr>
        <w:t xml:space="preserve">. </w:t>
      </w:r>
      <w:r w:rsidRPr="002275CD">
        <w:rPr>
          <w:color w:val="FF0000"/>
          <w:lang w:val="en-US"/>
        </w:rPr>
        <w:t>Through a large panel, System GMM/2SLS, and non-linear/heterogeneity analyses, it extends prior Vietnamese studies</w:t>
      </w:r>
      <w:r w:rsidR="00B07E64" w:rsidRPr="00B07E64">
        <w:rPr>
          <w:color w:val="FF0000"/>
          <w:vertAlign w:val="superscript"/>
          <w:lang w:val="en-US"/>
        </w:rPr>
        <w:t>14,8,15,16</w:t>
      </w:r>
      <w:r w:rsidRPr="002275CD">
        <w:rPr>
          <w:color w:val="FF0000"/>
          <w:lang w:val="en-US"/>
        </w:rPr>
        <w:t>.</w:t>
      </w:r>
      <w:r w:rsidR="00B07E64">
        <w:rPr>
          <w:color w:val="FF0000"/>
          <w:lang w:val="en-US"/>
        </w:rPr>
        <w:t xml:space="preserve"> </w:t>
      </w:r>
      <w:r w:rsidRPr="002275CD">
        <w:rPr>
          <w:color w:val="FF0000"/>
          <w:lang w:val="en-US"/>
        </w:rPr>
        <w:t>Practically, stakeholders should pursue conservative leverage (below 0.42 threshold), enhanced disclosures, and sector-tailored policies for stability.</w:t>
      </w:r>
      <w:r w:rsidR="00B07E64">
        <w:rPr>
          <w:color w:val="FF0000"/>
          <w:lang w:val="en-US"/>
        </w:rPr>
        <w:t xml:space="preserve"> </w:t>
      </w:r>
      <w:r w:rsidRPr="002275CD">
        <w:rPr>
          <w:color w:val="FF0000"/>
          <w:lang w:val="en-US"/>
        </w:rPr>
        <w:t>Limitations include sample scope and data cutoff</w:t>
      </w:r>
      <w:r w:rsidR="00B07E64">
        <w:rPr>
          <w:color w:val="FF0000"/>
          <w:lang w:val="en-US"/>
        </w:rPr>
        <w:t>, and the</w:t>
      </w:r>
      <w:r w:rsidRPr="002275CD">
        <w:rPr>
          <w:color w:val="FF0000"/>
          <w:lang w:val="en-US"/>
        </w:rPr>
        <w:t xml:space="preserve"> future work should prioritize ASEAN comparisons to test institutional moderators, alongside governance and updated data analyses.</w:t>
      </w:r>
      <w:r w:rsidR="00B07E64">
        <w:rPr>
          <w:color w:val="FF0000"/>
          <w:lang w:val="en-US"/>
        </w:rPr>
        <w:t xml:space="preserve"> </w:t>
      </w:r>
      <w:r w:rsidRPr="002275CD">
        <w:rPr>
          <w:color w:val="FF0000"/>
          <w:lang w:val="en-US"/>
        </w:rPr>
        <w:t>Overall, the findings enrich leverage dynamics understanding in Southeast Asia's challenging markets, guiding stakeholders in Vietnam's financial landscape.</w:t>
      </w:r>
      <w:r w:rsidR="00845229" w:rsidRPr="002275CD">
        <w:rPr>
          <w:color w:val="FF0000"/>
          <w:lang w:val="en-US"/>
        </w:rPr>
        <w:t xml:space="preserve"> </w:t>
      </w:r>
    </w:p>
    <w:p w14:paraId="34ED81D6" w14:textId="1B98E4CD" w:rsidR="001227DD" w:rsidRPr="00D875A4" w:rsidRDefault="001227DD" w:rsidP="001276CA">
      <w:pPr>
        <w:pStyle w:val="Heading1"/>
      </w:pPr>
      <w:bookmarkStart w:id="8" w:name="_heading=h.35nkun2" w:colFirst="0" w:colLast="0"/>
      <w:bookmarkEnd w:id="8"/>
      <w:r w:rsidRPr="00D875A4">
        <w:t xml:space="preserve">REFERENCES </w:t>
      </w:r>
    </w:p>
    <w:p w14:paraId="339026F6" w14:textId="6CA2E7E0"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J. Abor. The effect of capital structure on profitability: an empirical analysis of listed firms in Ghana. </w:t>
      </w:r>
      <w:r w:rsidRPr="00D875A4">
        <w:rPr>
          <w:i/>
          <w:iCs/>
          <w:sz w:val="24"/>
          <w:szCs w:val="24"/>
          <w:lang w:val="en-US"/>
        </w:rPr>
        <w:t>The Journal of Risk Finance</w:t>
      </w:r>
      <w:r w:rsidRPr="00D875A4">
        <w:rPr>
          <w:sz w:val="24"/>
          <w:szCs w:val="24"/>
          <w:lang w:val="en-US"/>
        </w:rPr>
        <w:t xml:space="preserve">, </w:t>
      </w:r>
      <w:r w:rsidRPr="00D875A4">
        <w:rPr>
          <w:b/>
          <w:bCs/>
          <w:sz w:val="24"/>
          <w:szCs w:val="24"/>
          <w:lang w:val="en-US"/>
        </w:rPr>
        <w:t>2005</w:t>
      </w:r>
      <w:r w:rsidRPr="00D875A4">
        <w:rPr>
          <w:sz w:val="24"/>
          <w:szCs w:val="24"/>
          <w:lang w:val="en-US"/>
        </w:rPr>
        <w:t xml:space="preserve">, </w:t>
      </w:r>
      <w:r w:rsidRPr="00D875A4">
        <w:rPr>
          <w:i/>
          <w:iCs/>
          <w:sz w:val="24"/>
          <w:szCs w:val="24"/>
          <w:lang w:val="en-US"/>
        </w:rPr>
        <w:t>6</w:t>
      </w:r>
      <w:r w:rsidRPr="00D875A4">
        <w:rPr>
          <w:sz w:val="24"/>
          <w:szCs w:val="24"/>
          <w:lang w:val="en-US"/>
        </w:rPr>
        <w:t>(5), 438</w:t>
      </w:r>
      <w:r w:rsidR="000633CC" w:rsidRPr="00D875A4">
        <w:rPr>
          <w:sz w:val="24"/>
          <w:szCs w:val="24"/>
          <w:lang w:val="en-US"/>
        </w:rPr>
        <w:t>-</w:t>
      </w:r>
      <w:r w:rsidRPr="00D875A4">
        <w:rPr>
          <w:sz w:val="24"/>
          <w:szCs w:val="24"/>
          <w:lang w:val="en-US"/>
        </w:rPr>
        <w:t>445.</w:t>
      </w:r>
    </w:p>
    <w:p w14:paraId="3C3378FE" w14:textId="40B675ED"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V. Dawar. Agency theory, capital structure and firm performance: some Indian evidence. </w:t>
      </w:r>
      <w:r w:rsidRPr="00D875A4">
        <w:rPr>
          <w:i/>
          <w:iCs/>
          <w:sz w:val="24"/>
          <w:szCs w:val="24"/>
          <w:lang w:val="en-US"/>
        </w:rPr>
        <w:t>Managerial Finance</w:t>
      </w:r>
      <w:r w:rsidRPr="00D875A4">
        <w:rPr>
          <w:sz w:val="24"/>
          <w:szCs w:val="24"/>
          <w:lang w:val="en-US"/>
        </w:rPr>
        <w:t xml:space="preserve">, </w:t>
      </w:r>
      <w:r w:rsidRPr="00D875A4">
        <w:rPr>
          <w:b/>
          <w:bCs/>
          <w:sz w:val="24"/>
          <w:szCs w:val="24"/>
          <w:lang w:val="en-US"/>
        </w:rPr>
        <w:t>2014</w:t>
      </w:r>
      <w:r w:rsidRPr="00D875A4">
        <w:rPr>
          <w:sz w:val="24"/>
          <w:szCs w:val="24"/>
          <w:lang w:val="en-US"/>
        </w:rPr>
        <w:t xml:space="preserve">, </w:t>
      </w:r>
      <w:r w:rsidRPr="00D875A4">
        <w:rPr>
          <w:i/>
          <w:iCs/>
          <w:sz w:val="24"/>
          <w:szCs w:val="24"/>
          <w:lang w:val="en-US"/>
        </w:rPr>
        <w:t>40</w:t>
      </w:r>
      <w:r w:rsidRPr="00D875A4">
        <w:rPr>
          <w:sz w:val="24"/>
          <w:szCs w:val="24"/>
          <w:lang w:val="en-US"/>
        </w:rPr>
        <w:t>(12), 1190</w:t>
      </w:r>
      <w:r w:rsidR="000633CC" w:rsidRPr="00D875A4">
        <w:rPr>
          <w:sz w:val="24"/>
          <w:szCs w:val="24"/>
          <w:lang w:val="en-US"/>
        </w:rPr>
        <w:t>-</w:t>
      </w:r>
      <w:r w:rsidRPr="00D875A4">
        <w:rPr>
          <w:sz w:val="24"/>
          <w:szCs w:val="24"/>
          <w:lang w:val="en-US"/>
        </w:rPr>
        <w:t xml:space="preserve">1206. </w:t>
      </w:r>
    </w:p>
    <w:p w14:paraId="1DB58902" w14:textId="7218CAD3"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S. Gul, H. Cho. Capital structure and default risk: Evidence from the Korean stock market. </w:t>
      </w:r>
      <w:r w:rsidRPr="00D875A4">
        <w:rPr>
          <w:i/>
          <w:iCs/>
          <w:sz w:val="24"/>
          <w:szCs w:val="24"/>
          <w:lang w:val="en-US"/>
        </w:rPr>
        <w:t>The Journal of Asian Finance, Economics and Business</w:t>
      </w:r>
      <w:r w:rsidRPr="00D875A4">
        <w:rPr>
          <w:sz w:val="24"/>
          <w:szCs w:val="24"/>
          <w:lang w:val="en-US"/>
        </w:rPr>
        <w:t xml:space="preserve">, </w:t>
      </w:r>
      <w:r w:rsidRPr="00D875A4">
        <w:rPr>
          <w:b/>
          <w:bCs/>
          <w:sz w:val="24"/>
          <w:szCs w:val="24"/>
          <w:lang w:val="en-US"/>
        </w:rPr>
        <w:t>2019</w:t>
      </w:r>
      <w:r w:rsidRPr="00D875A4">
        <w:rPr>
          <w:sz w:val="24"/>
          <w:szCs w:val="24"/>
          <w:lang w:val="en-US"/>
        </w:rPr>
        <w:t xml:space="preserve">, </w:t>
      </w:r>
      <w:r w:rsidRPr="00D875A4">
        <w:rPr>
          <w:i/>
          <w:iCs/>
          <w:sz w:val="24"/>
          <w:szCs w:val="24"/>
          <w:lang w:val="en-US"/>
        </w:rPr>
        <w:t>6</w:t>
      </w:r>
      <w:r w:rsidRPr="00D875A4">
        <w:rPr>
          <w:sz w:val="24"/>
          <w:szCs w:val="24"/>
          <w:lang w:val="en-US"/>
        </w:rPr>
        <w:t xml:space="preserve">(2), 15–24. </w:t>
      </w:r>
    </w:p>
    <w:p w14:paraId="5855D84F" w14:textId="340090A9"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J. Hongli, E. S. Ajorsu, E. K. Bakpa. The Effect of Liquidity and Financial Leverage on Firm Performance: Evidence from Listed Manufacturing Firms on The Ghana Stock Exchange. </w:t>
      </w:r>
      <w:r w:rsidRPr="00D875A4">
        <w:rPr>
          <w:i/>
          <w:iCs/>
          <w:sz w:val="24"/>
          <w:szCs w:val="24"/>
          <w:lang w:val="en-US"/>
        </w:rPr>
        <w:t>The Journal of Asian Finance, Economics and Business</w:t>
      </w:r>
      <w:r w:rsidRPr="00D875A4">
        <w:rPr>
          <w:sz w:val="24"/>
          <w:szCs w:val="24"/>
          <w:lang w:val="en-US"/>
        </w:rPr>
        <w:t xml:space="preserve">, </w:t>
      </w:r>
      <w:r w:rsidRPr="00D875A4">
        <w:rPr>
          <w:b/>
          <w:bCs/>
          <w:sz w:val="24"/>
          <w:szCs w:val="24"/>
          <w:lang w:val="en-US"/>
        </w:rPr>
        <w:t>2019</w:t>
      </w:r>
      <w:r w:rsidRPr="00D875A4">
        <w:rPr>
          <w:sz w:val="24"/>
          <w:szCs w:val="24"/>
          <w:lang w:val="en-US"/>
        </w:rPr>
        <w:t xml:space="preserve">, </w:t>
      </w:r>
      <w:r w:rsidRPr="00D875A4">
        <w:rPr>
          <w:i/>
          <w:iCs/>
          <w:sz w:val="24"/>
          <w:szCs w:val="24"/>
          <w:lang w:val="en-US"/>
        </w:rPr>
        <w:t>6</w:t>
      </w:r>
      <w:r w:rsidRPr="00D875A4">
        <w:rPr>
          <w:sz w:val="24"/>
          <w:szCs w:val="24"/>
          <w:lang w:val="en-US"/>
        </w:rPr>
        <w:t xml:space="preserve">(3), 91–100. </w:t>
      </w:r>
    </w:p>
    <w:p w14:paraId="70582C95" w14:textId="66C074D8"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M. C. Jensen, W. H. Meckling. Theory of the firm: Managerial behavior, agency </w:t>
      </w:r>
      <w:r w:rsidRPr="00D875A4">
        <w:rPr>
          <w:sz w:val="24"/>
          <w:szCs w:val="24"/>
          <w:lang w:val="en-US"/>
        </w:rPr>
        <w:lastRenderedPageBreak/>
        <w:t xml:space="preserve">costs and ownership structure. </w:t>
      </w:r>
      <w:r w:rsidRPr="00D875A4">
        <w:rPr>
          <w:i/>
          <w:iCs/>
          <w:sz w:val="24"/>
          <w:szCs w:val="24"/>
          <w:lang w:val="en-US"/>
        </w:rPr>
        <w:t>Journal of Financial Economics</w:t>
      </w:r>
      <w:r w:rsidRPr="00D875A4">
        <w:rPr>
          <w:sz w:val="24"/>
          <w:szCs w:val="24"/>
          <w:lang w:val="en-US"/>
        </w:rPr>
        <w:t xml:space="preserve">, </w:t>
      </w:r>
      <w:r w:rsidRPr="00D875A4">
        <w:rPr>
          <w:b/>
          <w:bCs/>
          <w:sz w:val="24"/>
          <w:szCs w:val="24"/>
          <w:lang w:val="en-US"/>
        </w:rPr>
        <w:t>1976</w:t>
      </w:r>
      <w:r w:rsidRPr="00D875A4">
        <w:rPr>
          <w:sz w:val="24"/>
          <w:szCs w:val="24"/>
          <w:lang w:val="en-US"/>
        </w:rPr>
        <w:t xml:space="preserve">, </w:t>
      </w:r>
      <w:r w:rsidRPr="00D875A4">
        <w:rPr>
          <w:i/>
          <w:iCs/>
          <w:sz w:val="24"/>
          <w:szCs w:val="24"/>
          <w:lang w:val="en-US"/>
        </w:rPr>
        <w:t>3</w:t>
      </w:r>
      <w:r w:rsidRPr="00D875A4">
        <w:rPr>
          <w:sz w:val="24"/>
          <w:szCs w:val="24"/>
          <w:lang w:val="en-US"/>
        </w:rPr>
        <w:t>(4), 305</w:t>
      </w:r>
      <w:r w:rsidR="000633CC" w:rsidRPr="00D875A4">
        <w:rPr>
          <w:sz w:val="24"/>
          <w:szCs w:val="24"/>
          <w:lang w:val="en-US"/>
        </w:rPr>
        <w:t>-</w:t>
      </w:r>
      <w:r w:rsidRPr="00D875A4">
        <w:rPr>
          <w:sz w:val="24"/>
          <w:szCs w:val="24"/>
          <w:lang w:val="en-US"/>
        </w:rPr>
        <w:t xml:space="preserve">360. </w:t>
      </w:r>
    </w:p>
    <w:p w14:paraId="01B340D3" w14:textId="62F9FC9D"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S. Kim, H. Lee, J. Kim. Divergent effects of external financing on technology innovation activity: Korean evidence. </w:t>
      </w:r>
      <w:r w:rsidRPr="00D875A4">
        <w:rPr>
          <w:i/>
          <w:iCs/>
          <w:sz w:val="24"/>
          <w:szCs w:val="24"/>
          <w:lang w:val="en-US"/>
        </w:rPr>
        <w:t>Technology in Society</w:t>
      </w:r>
      <w:r w:rsidRPr="00D875A4">
        <w:rPr>
          <w:sz w:val="24"/>
          <w:szCs w:val="24"/>
          <w:lang w:val="en-US"/>
        </w:rPr>
        <w:t xml:space="preserve">, </w:t>
      </w:r>
      <w:r w:rsidRPr="00D875A4">
        <w:rPr>
          <w:b/>
          <w:bCs/>
          <w:sz w:val="24"/>
          <w:szCs w:val="24"/>
          <w:lang w:val="en-US"/>
        </w:rPr>
        <w:t>2016</w:t>
      </w:r>
      <w:r w:rsidRPr="00D875A4">
        <w:rPr>
          <w:sz w:val="24"/>
          <w:szCs w:val="24"/>
          <w:lang w:val="en-US"/>
        </w:rPr>
        <w:t xml:space="preserve">, </w:t>
      </w:r>
      <w:r w:rsidRPr="00D875A4">
        <w:rPr>
          <w:i/>
          <w:iCs/>
          <w:sz w:val="24"/>
          <w:szCs w:val="24"/>
          <w:lang w:val="en-US"/>
        </w:rPr>
        <w:t>41</w:t>
      </w:r>
      <w:r w:rsidR="000633CC" w:rsidRPr="00D875A4">
        <w:rPr>
          <w:sz w:val="24"/>
          <w:szCs w:val="24"/>
          <w:lang w:val="en-US"/>
        </w:rPr>
        <w:t>(1)</w:t>
      </w:r>
      <w:r w:rsidRPr="00D875A4">
        <w:rPr>
          <w:sz w:val="24"/>
          <w:szCs w:val="24"/>
          <w:lang w:val="en-US"/>
        </w:rPr>
        <w:t xml:space="preserve">, 22–30. </w:t>
      </w:r>
    </w:p>
    <w:p w14:paraId="54CA9952" w14:textId="2B5D0AD9"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A. Kraus, R. H. Litzenberger. A state-preference model of optimal financial leverage. </w:t>
      </w:r>
      <w:r w:rsidRPr="00D875A4">
        <w:rPr>
          <w:i/>
          <w:iCs/>
          <w:sz w:val="24"/>
          <w:szCs w:val="24"/>
          <w:lang w:val="en-US"/>
        </w:rPr>
        <w:t>The Journal of Finance</w:t>
      </w:r>
      <w:r w:rsidRPr="00D875A4">
        <w:rPr>
          <w:sz w:val="24"/>
          <w:szCs w:val="24"/>
          <w:lang w:val="en-US"/>
        </w:rPr>
        <w:t xml:space="preserve">, </w:t>
      </w:r>
      <w:r w:rsidRPr="00D875A4">
        <w:rPr>
          <w:b/>
          <w:bCs/>
          <w:sz w:val="24"/>
          <w:szCs w:val="24"/>
          <w:lang w:val="en-US"/>
        </w:rPr>
        <w:t>1973</w:t>
      </w:r>
      <w:r w:rsidRPr="00D875A4">
        <w:rPr>
          <w:sz w:val="24"/>
          <w:szCs w:val="24"/>
          <w:lang w:val="en-US"/>
        </w:rPr>
        <w:t xml:space="preserve">, </w:t>
      </w:r>
      <w:r w:rsidRPr="00D875A4">
        <w:rPr>
          <w:i/>
          <w:iCs/>
          <w:sz w:val="24"/>
          <w:szCs w:val="24"/>
          <w:lang w:val="en-US"/>
        </w:rPr>
        <w:t>28</w:t>
      </w:r>
      <w:r w:rsidRPr="00D875A4">
        <w:rPr>
          <w:sz w:val="24"/>
          <w:szCs w:val="24"/>
          <w:lang w:val="en-US"/>
        </w:rPr>
        <w:t>(4), 911</w:t>
      </w:r>
      <w:r w:rsidR="000633CC" w:rsidRPr="00D875A4">
        <w:rPr>
          <w:sz w:val="24"/>
          <w:szCs w:val="24"/>
          <w:lang w:val="en-US"/>
        </w:rPr>
        <w:t>-</w:t>
      </w:r>
      <w:r w:rsidRPr="00D875A4">
        <w:rPr>
          <w:sz w:val="24"/>
          <w:szCs w:val="24"/>
          <w:lang w:val="en-US"/>
        </w:rPr>
        <w:t xml:space="preserve">922. </w:t>
      </w:r>
    </w:p>
    <w:p w14:paraId="7B68C13E" w14:textId="44327C37"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T. H. Le, C. P. Nguyen, T. D. Su. The effect of capital structure on firm value: A study of companies listed on the Vietnamese stock exchange. </w:t>
      </w:r>
      <w:r w:rsidRPr="00D875A4">
        <w:rPr>
          <w:i/>
          <w:iCs/>
          <w:sz w:val="24"/>
          <w:szCs w:val="24"/>
          <w:lang w:val="en-US"/>
        </w:rPr>
        <w:t>International Journal of Financial Studies</w:t>
      </w:r>
      <w:r w:rsidRPr="00D875A4">
        <w:rPr>
          <w:sz w:val="24"/>
          <w:szCs w:val="24"/>
          <w:lang w:val="en-US"/>
        </w:rPr>
        <w:t xml:space="preserve">, </w:t>
      </w:r>
      <w:r w:rsidRPr="00D875A4">
        <w:rPr>
          <w:b/>
          <w:bCs/>
          <w:sz w:val="24"/>
          <w:szCs w:val="24"/>
          <w:lang w:val="en-US"/>
        </w:rPr>
        <w:t>2023</w:t>
      </w:r>
      <w:r w:rsidRPr="00D875A4">
        <w:rPr>
          <w:sz w:val="24"/>
          <w:szCs w:val="24"/>
          <w:lang w:val="en-US"/>
        </w:rPr>
        <w:t xml:space="preserve">, </w:t>
      </w:r>
      <w:r w:rsidRPr="00D875A4">
        <w:rPr>
          <w:i/>
          <w:iCs/>
          <w:sz w:val="24"/>
          <w:szCs w:val="24"/>
          <w:lang w:val="en-US"/>
        </w:rPr>
        <w:t>11</w:t>
      </w:r>
      <w:r w:rsidRPr="00D875A4">
        <w:rPr>
          <w:sz w:val="24"/>
          <w:szCs w:val="24"/>
          <w:lang w:val="en-US"/>
        </w:rPr>
        <w:t>(3), 100</w:t>
      </w:r>
      <w:r w:rsidR="000633CC" w:rsidRPr="00D875A4">
        <w:rPr>
          <w:sz w:val="24"/>
          <w:szCs w:val="24"/>
          <w:lang w:val="en-US"/>
        </w:rPr>
        <w:t>-</w:t>
      </w:r>
      <w:r w:rsidRPr="00D875A4">
        <w:rPr>
          <w:sz w:val="24"/>
          <w:szCs w:val="24"/>
          <w:lang w:val="en-US"/>
        </w:rPr>
        <w:t xml:space="preserve">120. </w:t>
      </w:r>
    </w:p>
    <w:p w14:paraId="7CCA724A" w14:textId="4938A3DB"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D. Margaritis, M. Psillaki. Capital structure, equity ownership and firm performance. </w:t>
      </w:r>
      <w:r w:rsidRPr="00D875A4">
        <w:rPr>
          <w:i/>
          <w:iCs/>
          <w:sz w:val="24"/>
          <w:szCs w:val="24"/>
          <w:lang w:val="en-US"/>
        </w:rPr>
        <w:t>Journal of Banking &amp; Finance</w:t>
      </w:r>
      <w:r w:rsidRPr="00D875A4">
        <w:rPr>
          <w:sz w:val="24"/>
          <w:szCs w:val="24"/>
          <w:lang w:val="en-US"/>
        </w:rPr>
        <w:t xml:space="preserve">, </w:t>
      </w:r>
      <w:r w:rsidRPr="00D875A4">
        <w:rPr>
          <w:b/>
          <w:bCs/>
          <w:sz w:val="24"/>
          <w:szCs w:val="24"/>
          <w:lang w:val="en-US"/>
        </w:rPr>
        <w:t>2010</w:t>
      </w:r>
      <w:r w:rsidRPr="00D875A4">
        <w:rPr>
          <w:sz w:val="24"/>
          <w:szCs w:val="24"/>
          <w:lang w:val="en-US"/>
        </w:rPr>
        <w:t xml:space="preserve">, </w:t>
      </w:r>
      <w:r w:rsidRPr="00D875A4">
        <w:rPr>
          <w:i/>
          <w:iCs/>
          <w:sz w:val="24"/>
          <w:szCs w:val="24"/>
          <w:lang w:val="en-US"/>
        </w:rPr>
        <w:t>34</w:t>
      </w:r>
      <w:r w:rsidRPr="00D875A4">
        <w:rPr>
          <w:sz w:val="24"/>
          <w:szCs w:val="24"/>
          <w:lang w:val="en-US"/>
        </w:rPr>
        <w:t>(3), 621</w:t>
      </w:r>
      <w:r w:rsidR="000633CC" w:rsidRPr="00D875A4">
        <w:rPr>
          <w:sz w:val="24"/>
          <w:szCs w:val="24"/>
          <w:lang w:val="en-US"/>
        </w:rPr>
        <w:t>-</w:t>
      </w:r>
      <w:r w:rsidRPr="00D875A4">
        <w:rPr>
          <w:sz w:val="24"/>
          <w:szCs w:val="24"/>
          <w:lang w:val="en-US"/>
        </w:rPr>
        <w:t xml:space="preserve">632. </w:t>
      </w:r>
    </w:p>
    <w:p w14:paraId="7D8F6A01" w14:textId="705DB584"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F. Modigliani, M. H. Miller. The cost of capital, corporation finance and the theory of investment. </w:t>
      </w:r>
      <w:r w:rsidRPr="00D875A4">
        <w:rPr>
          <w:i/>
          <w:iCs/>
          <w:sz w:val="24"/>
          <w:szCs w:val="24"/>
          <w:lang w:val="en-US"/>
        </w:rPr>
        <w:t>The American Economic Review</w:t>
      </w:r>
      <w:r w:rsidRPr="00D875A4">
        <w:rPr>
          <w:sz w:val="24"/>
          <w:szCs w:val="24"/>
          <w:lang w:val="en-US"/>
        </w:rPr>
        <w:t xml:space="preserve">, </w:t>
      </w:r>
      <w:r w:rsidRPr="00D875A4">
        <w:rPr>
          <w:b/>
          <w:bCs/>
          <w:sz w:val="24"/>
          <w:szCs w:val="24"/>
          <w:lang w:val="en-US"/>
        </w:rPr>
        <w:t>1958</w:t>
      </w:r>
      <w:r w:rsidRPr="00D875A4">
        <w:rPr>
          <w:sz w:val="24"/>
          <w:szCs w:val="24"/>
          <w:lang w:val="en-US"/>
        </w:rPr>
        <w:t xml:space="preserve">, </w:t>
      </w:r>
      <w:r w:rsidRPr="00D875A4">
        <w:rPr>
          <w:i/>
          <w:iCs/>
          <w:sz w:val="24"/>
          <w:szCs w:val="24"/>
          <w:lang w:val="en-US"/>
        </w:rPr>
        <w:t>48</w:t>
      </w:r>
      <w:r w:rsidRPr="00D875A4">
        <w:rPr>
          <w:sz w:val="24"/>
          <w:szCs w:val="24"/>
          <w:lang w:val="en-US"/>
        </w:rPr>
        <w:t>(3), 261</w:t>
      </w:r>
      <w:r w:rsidR="000633CC" w:rsidRPr="00D875A4">
        <w:rPr>
          <w:sz w:val="24"/>
          <w:szCs w:val="24"/>
          <w:lang w:val="en-US"/>
        </w:rPr>
        <w:t>-</w:t>
      </w:r>
      <w:r w:rsidRPr="00D875A4">
        <w:rPr>
          <w:sz w:val="24"/>
          <w:szCs w:val="24"/>
          <w:lang w:val="en-US"/>
        </w:rPr>
        <w:t>297.</w:t>
      </w:r>
    </w:p>
    <w:p w14:paraId="1D7EF22F" w14:textId="65736B64" w:rsidR="006C4BBD" w:rsidRPr="00D875A4" w:rsidRDefault="006C4BBD" w:rsidP="006C4BBD">
      <w:pPr>
        <w:pStyle w:val="ListParagraph"/>
        <w:numPr>
          <w:ilvl w:val="0"/>
          <w:numId w:val="33"/>
        </w:numPr>
        <w:rPr>
          <w:sz w:val="24"/>
          <w:szCs w:val="24"/>
          <w:lang w:val="en-US"/>
        </w:rPr>
      </w:pPr>
      <w:r w:rsidRPr="00D875A4">
        <w:rPr>
          <w:sz w:val="24"/>
          <w:szCs w:val="24"/>
          <w:lang w:val="en-US"/>
        </w:rPr>
        <w:t xml:space="preserve">M. Z. Frank, V. K. Goyal. Trade-off and pecking order theories of debt. Handbook of Empirical Corporate Finance, </w:t>
      </w:r>
      <w:r w:rsidRPr="00D875A4">
        <w:rPr>
          <w:b/>
          <w:bCs/>
          <w:sz w:val="24"/>
          <w:szCs w:val="24"/>
          <w:lang w:val="en-US"/>
        </w:rPr>
        <w:t>200</w:t>
      </w:r>
      <w:r w:rsidR="00971C91">
        <w:rPr>
          <w:b/>
          <w:bCs/>
          <w:sz w:val="24"/>
          <w:szCs w:val="24"/>
          <w:lang w:val="en-US"/>
        </w:rPr>
        <w:t>9</w:t>
      </w:r>
      <w:r w:rsidRPr="00D875A4">
        <w:rPr>
          <w:sz w:val="24"/>
          <w:szCs w:val="24"/>
          <w:lang w:val="en-US"/>
        </w:rPr>
        <w:t>, 2, 135-202</w:t>
      </w:r>
    </w:p>
    <w:p w14:paraId="7E92ED82" w14:textId="7920F2B1" w:rsidR="00E84A9E" w:rsidRPr="00D875A4" w:rsidRDefault="006E0160" w:rsidP="00E84A9E">
      <w:pPr>
        <w:numPr>
          <w:ilvl w:val="0"/>
          <w:numId w:val="33"/>
        </w:numPr>
        <w:spacing w:after="120"/>
        <w:ind w:left="357" w:hanging="357"/>
        <w:rPr>
          <w:sz w:val="24"/>
          <w:szCs w:val="24"/>
          <w:lang w:val="en-US"/>
        </w:rPr>
      </w:pPr>
      <w:r w:rsidRPr="00D875A4">
        <w:rPr>
          <w:sz w:val="24"/>
          <w:szCs w:val="24"/>
          <w:lang w:val="en-US"/>
        </w:rPr>
        <w:t xml:space="preserve">S. C. Myers. Determinants of corporate borrowing. </w:t>
      </w:r>
      <w:r w:rsidRPr="00D875A4">
        <w:rPr>
          <w:i/>
          <w:iCs/>
          <w:sz w:val="24"/>
          <w:szCs w:val="24"/>
          <w:lang w:val="en-US"/>
        </w:rPr>
        <w:t>Journal of Financial Economics</w:t>
      </w:r>
      <w:r w:rsidRPr="00D875A4">
        <w:rPr>
          <w:sz w:val="24"/>
          <w:szCs w:val="24"/>
          <w:lang w:val="en-US"/>
        </w:rPr>
        <w:t xml:space="preserve">, </w:t>
      </w:r>
      <w:r w:rsidR="00E84A9E" w:rsidRPr="00D875A4">
        <w:rPr>
          <w:b/>
          <w:bCs/>
          <w:sz w:val="24"/>
          <w:szCs w:val="24"/>
          <w:lang w:val="en-US"/>
        </w:rPr>
        <w:t>2001</w:t>
      </w:r>
      <w:r w:rsidRPr="00D875A4">
        <w:rPr>
          <w:sz w:val="24"/>
          <w:szCs w:val="24"/>
          <w:lang w:val="en-US"/>
        </w:rPr>
        <w:t xml:space="preserve">, </w:t>
      </w:r>
      <w:r w:rsidRPr="00D875A4">
        <w:rPr>
          <w:i/>
          <w:iCs/>
          <w:sz w:val="24"/>
          <w:szCs w:val="24"/>
          <w:lang w:val="en-US"/>
        </w:rPr>
        <w:t>5</w:t>
      </w:r>
      <w:r w:rsidRPr="00D875A4">
        <w:rPr>
          <w:sz w:val="24"/>
          <w:szCs w:val="24"/>
          <w:lang w:val="en-US"/>
        </w:rPr>
        <w:t>(2), 147</w:t>
      </w:r>
      <w:r w:rsidR="000633CC" w:rsidRPr="00D875A4">
        <w:rPr>
          <w:sz w:val="24"/>
          <w:szCs w:val="24"/>
          <w:lang w:val="en-US"/>
        </w:rPr>
        <w:t>-</w:t>
      </w:r>
      <w:r w:rsidRPr="00D875A4">
        <w:rPr>
          <w:sz w:val="24"/>
          <w:szCs w:val="24"/>
          <w:lang w:val="en-US"/>
        </w:rPr>
        <w:t xml:space="preserve">175. </w:t>
      </w:r>
    </w:p>
    <w:p w14:paraId="6E839EC4" w14:textId="36D0D84D"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S. C. Myers, N. S. Majluf. Corporate financing and investment decisions when firms have information that investors do not have. </w:t>
      </w:r>
      <w:r w:rsidRPr="00D875A4">
        <w:rPr>
          <w:i/>
          <w:iCs/>
          <w:sz w:val="24"/>
          <w:szCs w:val="24"/>
          <w:lang w:val="en-US"/>
        </w:rPr>
        <w:t>Journal of Financial Economics</w:t>
      </w:r>
      <w:r w:rsidRPr="00D875A4">
        <w:rPr>
          <w:sz w:val="24"/>
          <w:szCs w:val="24"/>
          <w:lang w:val="en-US"/>
        </w:rPr>
        <w:t xml:space="preserve">, </w:t>
      </w:r>
      <w:r w:rsidRPr="00D875A4">
        <w:rPr>
          <w:b/>
          <w:bCs/>
          <w:sz w:val="24"/>
          <w:szCs w:val="24"/>
          <w:lang w:val="en-US"/>
        </w:rPr>
        <w:t>1984</w:t>
      </w:r>
      <w:r w:rsidRPr="00D875A4">
        <w:rPr>
          <w:sz w:val="24"/>
          <w:szCs w:val="24"/>
          <w:lang w:val="en-US"/>
        </w:rPr>
        <w:t xml:space="preserve">, </w:t>
      </w:r>
      <w:r w:rsidRPr="00D875A4">
        <w:rPr>
          <w:i/>
          <w:iCs/>
          <w:sz w:val="24"/>
          <w:szCs w:val="24"/>
          <w:lang w:val="en-US"/>
        </w:rPr>
        <w:t>13</w:t>
      </w:r>
      <w:r w:rsidRPr="00D875A4">
        <w:rPr>
          <w:sz w:val="24"/>
          <w:szCs w:val="24"/>
          <w:lang w:val="en-US"/>
        </w:rPr>
        <w:t>(2), 187</w:t>
      </w:r>
      <w:r w:rsidR="000633CC" w:rsidRPr="00D875A4">
        <w:rPr>
          <w:sz w:val="24"/>
          <w:szCs w:val="24"/>
          <w:lang w:val="en-US"/>
        </w:rPr>
        <w:t>-</w:t>
      </w:r>
      <w:r w:rsidRPr="00D875A4">
        <w:rPr>
          <w:sz w:val="24"/>
          <w:szCs w:val="24"/>
          <w:lang w:val="en-US"/>
        </w:rPr>
        <w:t xml:space="preserve">221. </w:t>
      </w:r>
    </w:p>
    <w:p w14:paraId="4A6EBC57" w14:textId="328D8B84"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H. T. Nguyen, A. H. Nguyen. The impact of capital structure on firm performance: Evidence from Vietnam. </w:t>
      </w:r>
      <w:r w:rsidRPr="00D875A4">
        <w:rPr>
          <w:i/>
          <w:iCs/>
          <w:sz w:val="24"/>
          <w:szCs w:val="24"/>
          <w:lang w:val="en-US"/>
        </w:rPr>
        <w:t>Journal of Asian Finance, Economics and Business</w:t>
      </w:r>
      <w:r w:rsidRPr="00D875A4">
        <w:rPr>
          <w:sz w:val="24"/>
          <w:szCs w:val="24"/>
          <w:lang w:val="en-US"/>
        </w:rPr>
        <w:t xml:space="preserve">, </w:t>
      </w:r>
      <w:r w:rsidRPr="00D875A4">
        <w:rPr>
          <w:b/>
          <w:bCs/>
          <w:sz w:val="24"/>
          <w:szCs w:val="24"/>
          <w:lang w:val="en-US"/>
        </w:rPr>
        <w:t>2020</w:t>
      </w:r>
      <w:r w:rsidRPr="00D875A4">
        <w:rPr>
          <w:sz w:val="24"/>
          <w:szCs w:val="24"/>
          <w:lang w:val="en-US"/>
        </w:rPr>
        <w:t xml:space="preserve">, </w:t>
      </w:r>
      <w:r w:rsidRPr="00D875A4">
        <w:rPr>
          <w:i/>
          <w:iCs/>
          <w:sz w:val="24"/>
          <w:szCs w:val="24"/>
          <w:lang w:val="en-US"/>
        </w:rPr>
        <w:t>7</w:t>
      </w:r>
      <w:r w:rsidRPr="00D875A4">
        <w:rPr>
          <w:sz w:val="24"/>
          <w:szCs w:val="24"/>
          <w:lang w:val="en-US"/>
        </w:rPr>
        <w:t>(4), 97</w:t>
      </w:r>
      <w:r w:rsidR="000633CC" w:rsidRPr="00D875A4">
        <w:rPr>
          <w:sz w:val="24"/>
          <w:szCs w:val="24"/>
          <w:lang w:val="en-US"/>
        </w:rPr>
        <w:t>-</w:t>
      </w:r>
      <w:r w:rsidRPr="00D875A4">
        <w:rPr>
          <w:sz w:val="24"/>
          <w:szCs w:val="24"/>
          <w:lang w:val="en-US"/>
        </w:rPr>
        <w:t xml:space="preserve">105. </w:t>
      </w:r>
    </w:p>
    <w:p w14:paraId="153C3F2F" w14:textId="6C209DDC"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T. H. Nguyen, T. T. Tran. The impact of capital structure on the performance of state-invested enterprises. </w:t>
      </w:r>
      <w:r w:rsidRPr="00D875A4">
        <w:rPr>
          <w:i/>
          <w:iCs/>
          <w:sz w:val="24"/>
          <w:szCs w:val="24"/>
          <w:lang w:val="en-US"/>
        </w:rPr>
        <w:t>Cogent Economics &amp; Finance</w:t>
      </w:r>
      <w:r w:rsidRPr="00D875A4">
        <w:rPr>
          <w:sz w:val="24"/>
          <w:szCs w:val="24"/>
          <w:lang w:val="en-US"/>
        </w:rPr>
        <w:t xml:space="preserve">, </w:t>
      </w:r>
      <w:r w:rsidRPr="00D875A4">
        <w:rPr>
          <w:b/>
          <w:bCs/>
          <w:sz w:val="24"/>
          <w:szCs w:val="24"/>
          <w:lang w:val="en-US"/>
        </w:rPr>
        <w:t>2024</w:t>
      </w:r>
      <w:r w:rsidRPr="00D875A4">
        <w:rPr>
          <w:sz w:val="24"/>
          <w:szCs w:val="24"/>
          <w:lang w:val="en-US"/>
        </w:rPr>
        <w:t xml:space="preserve">, </w:t>
      </w:r>
      <w:r w:rsidRPr="00D875A4">
        <w:rPr>
          <w:i/>
          <w:iCs/>
          <w:sz w:val="24"/>
          <w:szCs w:val="24"/>
          <w:lang w:val="en-US"/>
        </w:rPr>
        <w:t>12</w:t>
      </w:r>
      <w:r w:rsidRPr="00D875A4">
        <w:rPr>
          <w:sz w:val="24"/>
          <w:szCs w:val="24"/>
          <w:lang w:val="en-US"/>
        </w:rPr>
        <w:t xml:space="preserve">(1), 2399955. </w:t>
      </w:r>
    </w:p>
    <w:p w14:paraId="43509EED" w14:textId="047B8D99"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A. Phan, T. T. H. Nguyen, M. P. Nguyen, Q. C. Truong, T. H. T. Le. Impact of financial leverage and Big 4 audit quality on the performance of listed manufacturing companies in Vietnam. </w:t>
      </w:r>
      <w:r w:rsidRPr="00D875A4">
        <w:rPr>
          <w:i/>
          <w:iCs/>
          <w:sz w:val="24"/>
          <w:szCs w:val="24"/>
          <w:lang w:val="en-US"/>
        </w:rPr>
        <w:t>International Journal of Innovative Research and Scientific Studies</w:t>
      </w:r>
      <w:r w:rsidRPr="00D875A4">
        <w:rPr>
          <w:sz w:val="24"/>
          <w:szCs w:val="24"/>
          <w:lang w:val="en-US"/>
        </w:rPr>
        <w:t xml:space="preserve">, </w:t>
      </w:r>
      <w:r w:rsidRPr="00D875A4">
        <w:rPr>
          <w:b/>
          <w:bCs/>
          <w:sz w:val="24"/>
          <w:szCs w:val="24"/>
          <w:lang w:val="en-US"/>
        </w:rPr>
        <w:t>2025</w:t>
      </w:r>
      <w:r w:rsidRPr="00D875A4">
        <w:rPr>
          <w:sz w:val="24"/>
          <w:szCs w:val="24"/>
          <w:lang w:val="en-US"/>
        </w:rPr>
        <w:t xml:space="preserve">, </w:t>
      </w:r>
      <w:r w:rsidRPr="00D875A4">
        <w:rPr>
          <w:i/>
          <w:iCs/>
          <w:sz w:val="24"/>
          <w:szCs w:val="24"/>
          <w:lang w:val="en-US"/>
        </w:rPr>
        <w:t>8</w:t>
      </w:r>
      <w:r w:rsidRPr="00D875A4">
        <w:rPr>
          <w:sz w:val="24"/>
          <w:szCs w:val="24"/>
          <w:lang w:val="en-US"/>
        </w:rPr>
        <w:t>(3), 233</w:t>
      </w:r>
      <w:r w:rsidR="000633CC" w:rsidRPr="00D875A4">
        <w:rPr>
          <w:sz w:val="24"/>
          <w:szCs w:val="24"/>
          <w:lang w:val="en-US"/>
        </w:rPr>
        <w:t>-</w:t>
      </w:r>
      <w:r w:rsidRPr="00D875A4">
        <w:rPr>
          <w:sz w:val="24"/>
          <w:szCs w:val="24"/>
          <w:lang w:val="en-US"/>
        </w:rPr>
        <w:t xml:space="preserve">243. </w:t>
      </w:r>
    </w:p>
    <w:p w14:paraId="06EDD46D" w14:textId="7AFD2541"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S. A. Ross. The determination of financial structure: The incentive-signalling approach. </w:t>
      </w:r>
      <w:r w:rsidRPr="00D875A4">
        <w:rPr>
          <w:i/>
          <w:iCs/>
          <w:sz w:val="24"/>
          <w:szCs w:val="24"/>
          <w:lang w:val="en-US"/>
        </w:rPr>
        <w:t>The Bell Journal of Economics</w:t>
      </w:r>
      <w:r w:rsidRPr="00D875A4">
        <w:rPr>
          <w:sz w:val="24"/>
          <w:szCs w:val="24"/>
          <w:lang w:val="en-US"/>
        </w:rPr>
        <w:t xml:space="preserve">, </w:t>
      </w:r>
      <w:r w:rsidRPr="00D875A4">
        <w:rPr>
          <w:b/>
          <w:bCs/>
          <w:sz w:val="24"/>
          <w:szCs w:val="24"/>
          <w:lang w:val="en-US"/>
        </w:rPr>
        <w:t>1977</w:t>
      </w:r>
      <w:r w:rsidRPr="00D875A4">
        <w:rPr>
          <w:sz w:val="24"/>
          <w:szCs w:val="24"/>
          <w:lang w:val="en-US"/>
        </w:rPr>
        <w:t xml:space="preserve">, </w:t>
      </w:r>
      <w:r w:rsidRPr="00D875A4">
        <w:rPr>
          <w:i/>
          <w:iCs/>
          <w:sz w:val="24"/>
          <w:szCs w:val="24"/>
          <w:lang w:val="en-US"/>
        </w:rPr>
        <w:t>8</w:t>
      </w:r>
      <w:r w:rsidRPr="00D875A4">
        <w:rPr>
          <w:sz w:val="24"/>
          <w:szCs w:val="24"/>
          <w:lang w:val="en-US"/>
        </w:rPr>
        <w:t>(1), 23</w:t>
      </w:r>
      <w:r w:rsidR="000633CC" w:rsidRPr="00D875A4">
        <w:rPr>
          <w:sz w:val="24"/>
          <w:szCs w:val="24"/>
          <w:lang w:val="en-US"/>
        </w:rPr>
        <w:t>-</w:t>
      </w:r>
      <w:r w:rsidRPr="00D875A4">
        <w:rPr>
          <w:sz w:val="24"/>
          <w:szCs w:val="24"/>
          <w:lang w:val="en-US"/>
        </w:rPr>
        <w:t xml:space="preserve">40. </w:t>
      </w:r>
    </w:p>
    <w:p w14:paraId="6CFB0368" w14:textId="7302E9E6"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 xml:space="preserve">X. H. Vo. How does the stock market value bank diversification? Evidence from Vietnam. </w:t>
      </w:r>
      <w:r w:rsidRPr="00D875A4">
        <w:rPr>
          <w:i/>
          <w:iCs/>
          <w:sz w:val="24"/>
          <w:szCs w:val="24"/>
          <w:lang w:val="en-US"/>
        </w:rPr>
        <w:t>Finance Research Letters</w:t>
      </w:r>
      <w:r w:rsidRPr="00D875A4">
        <w:rPr>
          <w:sz w:val="24"/>
          <w:szCs w:val="24"/>
          <w:lang w:val="en-US"/>
        </w:rPr>
        <w:t xml:space="preserve">, </w:t>
      </w:r>
      <w:r w:rsidRPr="00D875A4">
        <w:rPr>
          <w:b/>
          <w:bCs/>
          <w:sz w:val="24"/>
          <w:szCs w:val="24"/>
          <w:lang w:val="en-US"/>
        </w:rPr>
        <w:t>2017</w:t>
      </w:r>
      <w:r w:rsidRPr="00D875A4">
        <w:rPr>
          <w:sz w:val="24"/>
          <w:szCs w:val="24"/>
          <w:lang w:val="en-US"/>
        </w:rPr>
        <w:t xml:space="preserve">, </w:t>
      </w:r>
      <w:r w:rsidRPr="00D875A4">
        <w:rPr>
          <w:i/>
          <w:iCs/>
          <w:sz w:val="24"/>
          <w:szCs w:val="24"/>
          <w:lang w:val="en-US"/>
        </w:rPr>
        <w:t>22</w:t>
      </w:r>
      <w:r w:rsidR="000633CC" w:rsidRPr="00D875A4">
        <w:rPr>
          <w:sz w:val="24"/>
          <w:szCs w:val="24"/>
          <w:lang w:val="en-US"/>
        </w:rPr>
        <w:t>(1)</w:t>
      </w:r>
      <w:r w:rsidRPr="00D875A4">
        <w:rPr>
          <w:sz w:val="24"/>
          <w:szCs w:val="24"/>
          <w:lang w:val="en-US"/>
        </w:rPr>
        <w:t>, 101</w:t>
      </w:r>
      <w:r w:rsidR="000633CC" w:rsidRPr="00D875A4">
        <w:rPr>
          <w:sz w:val="24"/>
          <w:szCs w:val="24"/>
          <w:lang w:val="en-US"/>
        </w:rPr>
        <w:t>-</w:t>
      </w:r>
      <w:r w:rsidRPr="00D875A4">
        <w:rPr>
          <w:sz w:val="24"/>
          <w:szCs w:val="24"/>
          <w:lang w:val="en-US"/>
        </w:rPr>
        <w:t xml:space="preserve">107. </w:t>
      </w:r>
    </w:p>
    <w:p w14:paraId="74BE9441" w14:textId="5A2F6C1A" w:rsidR="006E0160" w:rsidRPr="00D875A4" w:rsidRDefault="006E0160" w:rsidP="00647C7D">
      <w:pPr>
        <w:numPr>
          <w:ilvl w:val="0"/>
          <w:numId w:val="33"/>
        </w:numPr>
        <w:spacing w:after="120"/>
        <w:ind w:left="357" w:hanging="357"/>
        <w:rPr>
          <w:sz w:val="24"/>
          <w:szCs w:val="24"/>
          <w:lang w:val="en-US"/>
        </w:rPr>
      </w:pPr>
      <w:r w:rsidRPr="00D875A4">
        <w:rPr>
          <w:sz w:val="24"/>
          <w:szCs w:val="24"/>
          <w:lang w:val="en-US"/>
        </w:rPr>
        <w:t>J. M. Wooldridge. Econometric Analysis of Cross Section and Panel Data</w:t>
      </w:r>
      <w:r w:rsidR="000633CC" w:rsidRPr="00D875A4">
        <w:rPr>
          <w:sz w:val="24"/>
          <w:szCs w:val="24"/>
          <w:lang w:val="en-US"/>
        </w:rPr>
        <w:t xml:space="preserve">. </w:t>
      </w:r>
      <w:r w:rsidRPr="00D875A4">
        <w:rPr>
          <w:sz w:val="24"/>
          <w:szCs w:val="24"/>
          <w:lang w:val="en-US"/>
        </w:rPr>
        <w:t>2</w:t>
      </w:r>
      <w:r w:rsidRPr="00D875A4">
        <w:rPr>
          <w:sz w:val="24"/>
          <w:szCs w:val="24"/>
          <w:vertAlign w:val="superscript"/>
          <w:lang w:val="en-US"/>
        </w:rPr>
        <w:t>nd</w:t>
      </w:r>
      <w:r w:rsidRPr="00D875A4">
        <w:rPr>
          <w:sz w:val="24"/>
          <w:szCs w:val="24"/>
          <w:lang w:val="en-US"/>
        </w:rPr>
        <w:t xml:space="preserve"> Edition. </w:t>
      </w:r>
      <w:r w:rsidRPr="00D875A4">
        <w:rPr>
          <w:i/>
          <w:iCs/>
          <w:sz w:val="24"/>
          <w:szCs w:val="24"/>
          <w:lang w:val="en-US"/>
        </w:rPr>
        <w:t>MIT Press</w:t>
      </w:r>
      <w:r w:rsidRPr="00D875A4">
        <w:rPr>
          <w:sz w:val="24"/>
          <w:szCs w:val="24"/>
          <w:lang w:val="en-US"/>
        </w:rPr>
        <w:t xml:space="preserve">, </w:t>
      </w:r>
      <w:r w:rsidRPr="00D875A4">
        <w:rPr>
          <w:b/>
          <w:bCs/>
          <w:sz w:val="24"/>
          <w:szCs w:val="24"/>
          <w:lang w:val="en-US"/>
        </w:rPr>
        <w:t>2010</w:t>
      </w:r>
      <w:r w:rsidR="007524E7" w:rsidRPr="00D875A4">
        <w:rPr>
          <w:b/>
          <w:bCs/>
          <w:sz w:val="24"/>
          <w:szCs w:val="24"/>
          <w:lang w:val="en-US"/>
        </w:rPr>
        <w:t>.</w:t>
      </w:r>
    </w:p>
    <w:p w14:paraId="1251C29A" w14:textId="26C722E4" w:rsidR="007C59C9" w:rsidRPr="00AA2991" w:rsidRDefault="007C59C9" w:rsidP="000633CC">
      <w:pPr>
        <w:pStyle w:val="Content"/>
      </w:pPr>
      <w:r w:rsidRPr="00AA2991">
        <w:t xml:space="preserve"> </w:t>
      </w:r>
    </w:p>
    <w:p w14:paraId="6B65CCB6" w14:textId="77777777" w:rsidR="001227DD" w:rsidRPr="00AA2991" w:rsidRDefault="001227DD" w:rsidP="001227DD">
      <w:pPr>
        <w:rPr>
          <w:sz w:val="24"/>
          <w:szCs w:val="24"/>
        </w:rPr>
      </w:pPr>
    </w:p>
    <w:sectPr w:rsidR="001227DD" w:rsidRPr="00AA2991" w:rsidSect="00EA4B92">
      <w:type w:val="continuous"/>
      <w:pgSz w:w="11906" w:h="16838"/>
      <w:pgMar w:top="1134" w:right="1134" w:bottom="1134" w:left="1418" w:header="720" w:footer="720" w:gutter="0"/>
      <w:pgNumType w:start="1"/>
      <w:cols w:num="2" w:space="567"/>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2095" w14:textId="77777777" w:rsidR="00C0011F" w:rsidRDefault="00C0011F">
      <w:r>
        <w:separator/>
      </w:r>
    </w:p>
  </w:endnote>
  <w:endnote w:type="continuationSeparator" w:id="0">
    <w:p w14:paraId="6915271D" w14:textId="77777777" w:rsidR="00C0011F" w:rsidRDefault="00C0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7D66" w14:textId="77777777" w:rsidR="00C0011F" w:rsidRDefault="00C0011F">
      <w:r>
        <w:separator/>
      </w:r>
    </w:p>
  </w:footnote>
  <w:footnote w:type="continuationSeparator" w:id="0">
    <w:p w14:paraId="7FE6723D" w14:textId="77777777" w:rsidR="00C0011F" w:rsidRDefault="00C00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C76"/>
    <w:multiLevelType w:val="hybridMultilevel"/>
    <w:tmpl w:val="1A54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ED465A"/>
    <w:multiLevelType w:val="multilevel"/>
    <w:tmpl w:val="4972295A"/>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pStyle w:val="Heading3"/>
      <w:lvlText w:val="%2.%3."/>
      <w:lvlJc w:val="left"/>
      <w:pPr>
        <w:ind w:left="108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3102086"/>
    <w:multiLevelType w:val="hybridMultilevel"/>
    <w:tmpl w:val="06065AA4"/>
    <w:lvl w:ilvl="0" w:tplc="B922E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316A6"/>
    <w:multiLevelType w:val="hybridMultilevel"/>
    <w:tmpl w:val="1AF8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00F75"/>
    <w:multiLevelType w:val="multilevel"/>
    <w:tmpl w:val="439896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7ED3D45"/>
    <w:multiLevelType w:val="multilevel"/>
    <w:tmpl w:val="6B786B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0"/>
  </w:num>
  <w:num w:numId="27">
    <w:abstractNumId w:val="2"/>
  </w:num>
  <w:num w:numId="28">
    <w:abstractNumId w:val="3"/>
    <w:lvlOverride w:ilvl="0">
      <w:startOverride w:val="1"/>
    </w:lvlOverride>
    <w:lvlOverride w:ilvl="1">
      <w:startOverride w:val="2"/>
    </w:lvlOverride>
    <w:lvlOverride w:ilvl="2">
      <w:startOverride w:val="6"/>
    </w:lvlOverride>
  </w:num>
  <w:num w:numId="29">
    <w:abstractNumId w:val="7"/>
  </w:num>
  <w:num w:numId="30">
    <w:abstractNumId w:val="4"/>
  </w:num>
  <w:num w:numId="31">
    <w:abstractNumId w:val="1"/>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0A39"/>
    <w:rsid w:val="00003222"/>
    <w:rsid w:val="000032EA"/>
    <w:rsid w:val="0000539A"/>
    <w:rsid w:val="00007F01"/>
    <w:rsid w:val="000100CE"/>
    <w:rsid w:val="00010B3E"/>
    <w:rsid w:val="00012538"/>
    <w:rsid w:val="000128FD"/>
    <w:rsid w:val="00013D82"/>
    <w:rsid w:val="00016EAE"/>
    <w:rsid w:val="000200AA"/>
    <w:rsid w:val="00020681"/>
    <w:rsid w:val="000238E2"/>
    <w:rsid w:val="000371E2"/>
    <w:rsid w:val="000377B2"/>
    <w:rsid w:val="0004017A"/>
    <w:rsid w:val="00041E75"/>
    <w:rsid w:val="0004235B"/>
    <w:rsid w:val="00045925"/>
    <w:rsid w:val="00047B1D"/>
    <w:rsid w:val="00047E1C"/>
    <w:rsid w:val="0005174B"/>
    <w:rsid w:val="00053BD3"/>
    <w:rsid w:val="000633CC"/>
    <w:rsid w:val="0006354C"/>
    <w:rsid w:val="0006509D"/>
    <w:rsid w:val="00067FD2"/>
    <w:rsid w:val="00076494"/>
    <w:rsid w:val="00077FBF"/>
    <w:rsid w:val="00081A0C"/>
    <w:rsid w:val="00084844"/>
    <w:rsid w:val="000941DA"/>
    <w:rsid w:val="00095FB3"/>
    <w:rsid w:val="00097F1A"/>
    <w:rsid w:val="000A1FD9"/>
    <w:rsid w:val="000A374A"/>
    <w:rsid w:val="000A4D5F"/>
    <w:rsid w:val="000A725D"/>
    <w:rsid w:val="000A77DC"/>
    <w:rsid w:val="000B2D0B"/>
    <w:rsid w:val="000B2FA4"/>
    <w:rsid w:val="000B3AEA"/>
    <w:rsid w:val="000B3EBC"/>
    <w:rsid w:val="000B6314"/>
    <w:rsid w:val="000C0431"/>
    <w:rsid w:val="000C0EF4"/>
    <w:rsid w:val="000C12FB"/>
    <w:rsid w:val="000C3C2E"/>
    <w:rsid w:val="000C5832"/>
    <w:rsid w:val="000D1E42"/>
    <w:rsid w:val="000D4242"/>
    <w:rsid w:val="000D55FF"/>
    <w:rsid w:val="000D5E28"/>
    <w:rsid w:val="000D6833"/>
    <w:rsid w:val="000E1EE1"/>
    <w:rsid w:val="000E2090"/>
    <w:rsid w:val="000E6390"/>
    <w:rsid w:val="000F78D4"/>
    <w:rsid w:val="00100052"/>
    <w:rsid w:val="00110265"/>
    <w:rsid w:val="0011051A"/>
    <w:rsid w:val="00111157"/>
    <w:rsid w:val="00112722"/>
    <w:rsid w:val="0011284E"/>
    <w:rsid w:val="00113EBA"/>
    <w:rsid w:val="00113F2F"/>
    <w:rsid w:val="00117A35"/>
    <w:rsid w:val="00121193"/>
    <w:rsid w:val="001227DD"/>
    <w:rsid w:val="00125293"/>
    <w:rsid w:val="00125E9C"/>
    <w:rsid w:val="00127154"/>
    <w:rsid w:val="001276CA"/>
    <w:rsid w:val="00130DE8"/>
    <w:rsid w:val="0014106B"/>
    <w:rsid w:val="001436D2"/>
    <w:rsid w:val="00152175"/>
    <w:rsid w:val="00154E02"/>
    <w:rsid w:val="00157FB3"/>
    <w:rsid w:val="00162385"/>
    <w:rsid w:val="00171304"/>
    <w:rsid w:val="001738B2"/>
    <w:rsid w:val="00175D39"/>
    <w:rsid w:val="00177EF7"/>
    <w:rsid w:val="00181E2B"/>
    <w:rsid w:val="00182256"/>
    <w:rsid w:val="00187B4D"/>
    <w:rsid w:val="00190AED"/>
    <w:rsid w:val="0019194B"/>
    <w:rsid w:val="00192EB4"/>
    <w:rsid w:val="001A2409"/>
    <w:rsid w:val="001A43AD"/>
    <w:rsid w:val="001A7840"/>
    <w:rsid w:val="001B042C"/>
    <w:rsid w:val="001B1780"/>
    <w:rsid w:val="001B2F53"/>
    <w:rsid w:val="001B345E"/>
    <w:rsid w:val="001B7B4F"/>
    <w:rsid w:val="001C0813"/>
    <w:rsid w:val="001D1399"/>
    <w:rsid w:val="001D3125"/>
    <w:rsid w:val="001E0CE5"/>
    <w:rsid w:val="001E3D40"/>
    <w:rsid w:val="001E4117"/>
    <w:rsid w:val="001F09C3"/>
    <w:rsid w:val="001F0C2E"/>
    <w:rsid w:val="001F16D8"/>
    <w:rsid w:val="001F25B4"/>
    <w:rsid w:val="001F2902"/>
    <w:rsid w:val="001F3AEC"/>
    <w:rsid w:val="001F5F0D"/>
    <w:rsid w:val="00204227"/>
    <w:rsid w:val="0021204F"/>
    <w:rsid w:val="00214DF8"/>
    <w:rsid w:val="00216A88"/>
    <w:rsid w:val="00216C7D"/>
    <w:rsid w:val="002238C3"/>
    <w:rsid w:val="00225795"/>
    <w:rsid w:val="002275CD"/>
    <w:rsid w:val="00232EF1"/>
    <w:rsid w:val="002334E4"/>
    <w:rsid w:val="00235962"/>
    <w:rsid w:val="00256BC9"/>
    <w:rsid w:val="00257369"/>
    <w:rsid w:val="00257B23"/>
    <w:rsid w:val="00271561"/>
    <w:rsid w:val="002761DA"/>
    <w:rsid w:val="00277BB6"/>
    <w:rsid w:val="00281935"/>
    <w:rsid w:val="00282790"/>
    <w:rsid w:val="0028303A"/>
    <w:rsid w:val="0028699B"/>
    <w:rsid w:val="00286F61"/>
    <w:rsid w:val="00290229"/>
    <w:rsid w:val="0029248A"/>
    <w:rsid w:val="00292745"/>
    <w:rsid w:val="00292A48"/>
    <w:rsid w:val="002934AA"/>
    <w:rsid w:val="002936C1"/>
    <w:rsid w:val="00294B68"/>
    <w:rsid w:val="0029601B"/>
    <w:rsid w:val="002A2939"/>
    <w:rsid w:val="002A2FA4"/>
    <w:rsid w:val="002A5C74"/>
    <w:rsid w:val="002A7EE4"/>
    <w:rsid w:val="002B12F0"/>
    <w:rsid w:val="002B356B"/>
    <w:rsid w:val="002B4148"/>
    <w:rsid w:val="002B66D7"/>
    <w:rsid w:val="002C5B0B"/>
    <w:rsid w:val="002C5E54"/>
    <w:rsid w:val="002C7F62"/>
    <w:rsid w:val="002D38B6"/>
    <w:rsid w:val="002D5A41"/>
    <w:rsid w:val="002D6031"/>
    <w:rsid w:val="002D74A5"/>
    <w:rsid w:val="002E1D0A"/>
    <w:rsid w:val="002E3A27"/>
    <w:rsid w:val="002E40CA"/>
    <w:rsid w:val="002E4126"/>
    <w:rsid w:val="002E6B04"/>
    <w:rsid w:val="002E75DC"/>
    <w:rsid w:val="002E797A"/>
    <w:rsid w:val="002F10D8"/>
    <w:rsid w:val="002F332C"/>
    <w:rsid w:val="002F3A6E"/>
    <w:rsid w:val="002F55DC"/>
    <w:rsid w:val="002F6E89"/>
    <w:rsid w:val="00317483"/>
    <w:rsid w:val="00325A97"/>
    <w:rsid w:val="00330738"/>
    <w:rsid w:val="00331F06"/>
    <w:rsid w:val="00331F67"/>
    <w:rsid w:val="00341EBB"/>
    <w:rsid w:val="00342478"/>
    <w:rsid w:val="003453E3"/>
    <w:rsid w:val="003460A6"/>
    <w:rsid w:val="0035158E"/>
    <w:rsid w:val="003517DE"/>
    <w:rsid w:val="00361249"/>
    <w:rsid w:val="0036177B"/>
    <w:rsid w:val="003640A5"/>
    <w:rsid w:val="0036414F"/>
    <w:rsid w:val="0036571B"/>
    <w:rsid w:val="003657E2"/>
    <w:rsid w:val="00372264"/>
    <w:rsid w:val="003745E4"/>
    <w:rsid w:val="00374827"/>
    <w:rsid w:val="00375C3B"/>
    <w:rsid w:val="00377F56"/>
    <w:rsid w:val="00382E00"/>
    <w:rsid w:val="00383202"/>
    <w:rsid w:val="00383786"/>
    <w:rsid w:val="00384073"/>
    <w:rsid w:val="003860CE"/>
    <w:rsid w:val="00395D8D"/>
    <w:rsid w:val="0039606E"/>
    <w:rsid w:val="003966ED"/>
    <w:rsid w:val="0039690E"/>
    <w:rsid w:val="00397CC9"/>
    <w:rsid w:val="003A01AB"/>
    <w:rsid w:val="003A02A2"/>
    <w:rsid w:val="003A5717"/>
    <w:rsid w:val="003A68B8"/>
    <w:rsid w:val="003A6EAA"/>
    <w:rsid w:val="003A6EBD"/>
    <w:rsid w:val="003B4677"/>
    <w:rsid w:val="003B587A"/>
    <w:rsid w:val="003B6D9F"/>
    <w:rsid w:val="003C2C6E"/>
    <w:rsid w:val="003C3D19"/>
    <w:rsid w:val="003C6E95"/>
    <w:rsid w:val="003D04B6"/>
    <w:rsid w:val="003D06EC"/>
    <w:rsid w:val="003D3033"/>
    <w:rsid w:val="003D5DBC"/>
    <w:rsid w:val="003D6418"/>
    <w:rsid w:val="003E1EB8"/>
    <w:rsid w:val="003E21D2"/>
    <w:rsid w:val="003E2C42"/>
    <w:rsid w:val="003E4B20"/>
    <w:rsid w:val="003E5BB1"/>
    <w:rsid w:val="003F5B1D"/>
    <w:rsid w:val="003F5D37"/>
    <w:rsid w:val="00401706"/>
    <w:rsid w:val="00410093"/>
    <w:rsid w:val="00410E38"/>
    <w:rsid w:val="0041363F"/>
    <w:rsid w:val="00420666"/>
    <w:rsid w:val="00420A53"/>
    <w:rsid w:val="00433EA0"/>
    <w:rsid w:val="004360D7"/>
    <w:rsid w:val="0043790C"/>
    <w:rsid w:val="00440EAD"/>
    <w:rsid w:val="004416AC"/>
    <w:rsid w:val="00444517"/>
    <w:rsid w:val="0044593E"/>
    <w:rsid w:val="00454CD2"/>
    <w:rsid w:val="00457645"/>
    <w:rsid w:val="00460940"/>
    <w:rsid w:val="00465975"/>
    <w:rsid w:val="00465C19"/>
    <w:rsid w:val="004724AA"/>
    <w:rsid w:val="0047335F"/>
    <w:rsid w:val="004770E5"/>
    <w:rsid w:val="0047762B"/>
    <w:rsid w:val="0048065F"/>
    <w:rsid w:val="00480D6B"/>
    <w:rsid w:val="00482A31"/>
    <w:rsid w:val="00485D3D"/>
    <w:rsid w:val="00490CA8"/>
    <w:rsid w:val="0049416A"/>
    <w:rsid w:val="004952D2"/>
    <w:rsid w:val="00495D93"/>
    <w:rsid w:val="004A4DC5"/>
    <w:rsid w:val="004A6CB4"/>
    <w:rsid w:val="004B00A5"/>
    <w:rsid w:val="004B0956"/>
    <w:rsid w:val="004B1478"/>
    <w:rsid w:val="004B1DAB"/>
    <w:rsid w:val="004B2081"/>
    <w:rsid w:val="004B682B"/>
    <w:rsid w:val="004C01BC"/>
    <w:rsid w:val="004C1C59"/>
    <w:rsid w:val="004C2971"/>
    <w:rsid w:val="004C48A4"/>
    <w:rsid w:val="004C5396"/>
    <w:rsid w:val="004C549D"/>
    <w:rsid w:val="004D1012"/>
    <w:rsid w:val="004D26B9"/>
    <w:rsid w:val="004D3FFF"/>
    <w:rsid w:val="004D5EED"/>
    <w:rsid w:val="004D6C1E"/>
    <w:rsid w:val="004D70FC"/>
    <w:rsid w:val="004D7648"/>
    <w:rsid w:val="004D7C55"/>
    <w:rsid w:val="004E0885"/>
    <w:rsid w:val="004E2438"/>
    <w:rsid w:val="004E4C1A"/>
    <w:rsid w:val="004F05F0"/>
    <w:rsid w:val="004F3383"/>
    <w:rsid w:val="004F699C"/>
    <w:rsid w:val="004F7411"/>
    <w:rsid w:val="00500FC9"/>
    <w:rsid w:val="00504BDD"/>
    <w:rsid w:val="00504E42"/>
    <w:rsid w:val="00506A7C"/>
    <w:rsid w:val="00506B67"/>
    <w:rsid w:val="0050742F"/>
    <w:rsid w:val="00512C89"/>
    <w:rsid w:val="00514266"/>
    <w:rsid w:val="005158BC"/>
    <w:rsid w:val="00516B3C"/>
    <w:rsid w:val="00522CE0"/>
    <w:rsid w:val="005235E6"/>
    <w:rsid w:val="00524CB3"/>
    <w:rsid w:val="00530F7F"/>
    <w:rsid w:val="00535A28"/>
    <w:rsid w:val="00536282"/>
    <w:rsid w:val="00542132"/>
    <w:rsid w:val="0054332C"/>
    <w:rsid w:val="005533A9"/>
    <w:rsid w:val="00561EE7"/>
    <w:rsid w:val="005628CF"/>
    <w:rsid w:val="005629AF"/>
    <w:rsid w:val="00564260"/>
    <w:rsid w:val="005648DE"/>
    <w:rsid w:val="00565A1D"/>
    <w:rsid w:val="0056680D"/>
    <w:rsid w:val="005703FE"/>
    <w:rsid w:val="00571D1A"/>
    <w:rsid w:val="00573E8D"/>
    <w:rsid w:val="00576358"/>
    <w:rsid w:val="00576C44"/>
    <w:rsid w:val="00576F13"/>
    <w:rsid w:val="00581600"/>
    <w:rsid w:val="00581B22"/>
    <w:rsid w:val="005833C5"/>
    <w:rsid w:val="00583A61"/>
    <w:rsid w:val="00584655"/>
    <w:rsid w:val="00585478"/>
    <w:rsid w:val="00585A96"/>
    <w:rsid w:val="00587533"/>
    <w:rsid w:val="00587C2D"/>
    <w:rsid w:val="00587F5F"/>
    <w:rsid w:val="005923DC"/>
    <w:rsid w:val="00593469"/>
    <w:rsid w:val="00593586"/>
    <w:rsid w:val="0059656A"/>
    <w:rsid w:val="005A0C65"/>
    <w:rsid w:val="005A0E0A"/>
    <w:rsid w:val="005A3E1A"/>
    <w:rsid w:val="005A577A"/>
    <w:rsid w:val="005B2C44"/>
    <w:rsid w:val="005B4C41"/>
    <w:rsid w:val="005C1DBC"/>
    <w:rsid w:val="005C421F"/>
    <w:rsid w:val="005C4A29"/>
    <w:rsid w:val="005C6ACD"/>
    <w:rsid w:val="005D2592"/>
    <w:rsid w:val="005D25F1"/>
    <w:rsid w:val="005D5DF5"/>
    <w:rsid w:val="005D65D8"/>
    <w:rsid w:val="005E0CDC"/>
    <w:rsid w:val="005E2C42"/>
    <w:rsid w:val="005E7788"/>
    <w:rsid w:val="005F06DB"/>
    <w:rsid w:val="005F2758"/>
    <w:rsid w:val="005F563D"/>
    <w:rsid w:val="00600A42"/>
    <w:rsid w:val="00601ABB"/>
    <w:rsid w:val="00604949"/>
    <w:rsid w:val="00604A92"/>
    <w:rsid w:val="006166DA"/>
    <w:rsid w:val="006343B8"/>
    <w:rsid w:val="00636F7D"/>
    <w:rsid w:val="00637E25"/>
    <w:rsid w:val="006404AF"/>
    <w:rsid w:val="00640617"/>
    <w:rsid w:val="00642794"/>
    <w:rsid w:val="00647C7D"/>
    <w:rsid w:val="006501A9"/>
    <w:rsid w:val="00650684"/>
    <w:rsid w:val="00657418"/>
    <w:rsid w:val="00662784"/>
    <w:rsid w:val="00663D65"/>
    <w:rsid w:val="00665FBD"/>
    <w:rsid w:val="006735A0"/>
    <w:rsid w:val="00673DE6"/>
    <w:rsid w:val="00680AFD"/>
    <w:rsid w:val="00681610"/>
    <w:rsid w:val="00681D84"/>
    <w:rsid w:val="00682F4E"/>
    <w:rsid w:val="0068548D"/>
    <w:rsid w:val="006861D3"/>
    <w:rsid w:val="00686811"/>
    <w:rsid w:val="00687F85"/>
    <w:rsid w:val="00690FA5"/>
    <w:rsid w:val="00692DD5"/>
    <w:rsid w:val="006A0B18"/>
    <w:rsid w:val="006A2F83"/>
    <w:rsid w:val="006A3CFA"/>
    <w:rsid w:val="006A7F05"/>
    <w:rsid w:val="006B3F15"/>
    <w:rsid w:val="006B52C5"/>
    <w:rsid w:val="006B7EEF"/>
    <w:rsid w:val="006C0F0F"/>
    <w:rsid w:val="006C44A5"/>
    <w:rsid w:val="006C4BBD"/>
    <w:rsid w:val="006D3E49"/>
    <w:rsid w:val="006E0160"/>
    <w:rsid w:val="006E0B7E"/>
    <w:rsid w:val="006E1072"/>
    <w:rsid w:val="006E2240"/>
    <w:rsid w:val="006E24B9"/>
    <w:rsid w:val="006E3130"/>
    <w:rsid w:val="006E5557"/>
    <w:rsid w:val="006E5BB8"/>
    <w:rsid w:val="006E69D1"/>
    <w:rsid w:val="006E7698"/>
    <w:rsid w:val="006F059A"/>
    <w:rsid w:val="006F1D09"/>
    <w:rsid w:val="006F5C33"/>
    <w:rsid w:val="006F70E6"/>
    <w:rsid w:val="006F77D3"/>
    <w:rsid w:val="00704534"/>
    <w:rsid w:val="007109A5"/>
    <w:rsid w:val="00713BC1"/>
    <w:rsid w:val="00713CB3"/>
    <w:rsid w:val="007151ED"/>
    <w:rsid w:val="00720235"/>
    <w:rsid w:val="00720630"/>
    <w:rsid w:val="0072171D"/>
    <w:rsid w:val="00721A29"/>
    <w:rsid w:val="00730D06"/>
    <w:rsid w:val="007325DC"/>
    <w:rsid w:val="00734702"/>
    <w:rsid w:val="00736A48"/>
    <w:rsid w:val="00736A4C"/>
    <w:rsid w:val="00736C37"/>
    <w:rsid w:val="007421AE"/>
    <w:rsid w:val="0074718A"/>
    <w:rsid w:val="00751148"/>
    <w:rsid w:val="007524E7"/>
    <w:rsid w:val="0075331B"/>
    <w:rsid w:val="0075649C"/>
    <w:rsid w:val="0075789D"/>
    <w:rsid w:val="00757A38"/>
    <w:rsid w:val="007613F8"/>
    <w:rsid w:val="00764D53"/>
    <w:rsid w:val="00764DB9"/>
    <w:rsid w:val="00774019"/>
    <w:rsid w:val="00775E30"/>
    <w:rsid w:val="00782F53"/>
    <w:rsid w:val="007849B3"/>
    <w:rsid w:val="007853B4"/>
    <w:rsid w:val="00785425"/>
    <w:rsid w:val="0078682E"/>
    <w:rsid w:val="00792CE8"/>
    <w:rsid w:val="007966F9"/>
    <w:rsid w:val="0079683F"/>
    <w:rsid w:val="007A0441"/>
    <w:rsid w:val="007A48B7"/>
    <w:rsid w:val="007A7C24"/>
    <w:rsid w:val="007B1974"/>
    <w:rsid w:val="007B4BC7"/>
    <w:rsid w:val="007C0189"/>
    <w:rsid w:val="007C0957"/>
    <w:rsid w:val="007C3ED9"/>
    <w:rsid w:val="007C59C9"/>
    <w:rsid w:val="007C5DD1"/>
    <w:rsid w:val="007C739D"/>
    <w:rsid w:val="007D1A28"/>
    <w:rsid w:val="007D1CC8"/>
    <w:rsid w:val="007D5222"/>
    <w:rsid w:val="007D524D"/>
    <w:rsid w:val="007E3A0D"/>
    <w:rsid w:val="007E66F3"/>
    <w:rsid w:val="007F0B15"/>
    <w:rsid w:val="007F4CD4"/>
    <w:rsid w:val="007F4E5E"/>
    <w:rsid w:val="007F598D"/>
    <w:rsid w:val="007F6984"/>
    <w:rsid w:val="007F7211"/>
    <w:rsid w:val="00803C4E"/>
    <w:rsid w:val="00805C9A"/>
    <w:rsid w:val="0080635E"/>
    <w:rsid w:val="00811DE5"/>
    <w:rsid w:val="00812B04"/>
    <w:rsid w:val="00814F3D"/>
    <w:rsid w:val="0082094A"/>
    <w:rsid w:val="00824D0E"/>
    <w:rsid w:val="0083024D"/>
    <w:rsid w:val="008320F3"/>
    <w:rsid w:val="00840651"/>
    <w:rsid w:val="00840DE9"/>
    <w:rsid w:val="00843596"/>
    <w:rsid w:val="00845229"/>
    <w:rsid w:val="00850A7A"/>
    <w:rsid w:val="00853EDF"/>
    <w:rsid w:val="008549AD"/>
    <w:rsid w:val="00865CED"/>
    <w:rsid w:val="00866B67"/>
    <w:rsid w:val="00867017"/>
    <w:rsid w:val="00872899"/>
    <w:rsid w:val="008747E1"/>
    <w:rsid w:val="00876CF5"/>
    <w:rsid w:val="00881500"/>
    <w:rsid w:val="00884336"/>
    <w:rsid w:val="008865F2"/>
    <w:rsid w:val="00887119"/>
    <w:rsid w:val="00887359"/>
    <w:rsid w:val="0088789A"/>
    <w:rsid w:val="008927DA"/>
    <w:rsid w:val="00893C09"/>
    <w:rsid w:val="008A64F6"/>
    <w:rsid w:val="008B2A3B"/>
    <w:rsid w:val="008B6F25"/>
    <w:rsid w:val="008B795F"/>
    <w:rsid w:val="008C0E04"/>
    <w:rsid w:val="008C2DA6"/>
    <w:rsid w:val="008C4A66"/>
    <w:rsid w:val="008C518A"/>
    <w:rsid w:val="008C66A6"/>
    <w:rsid w:val="008D1CB6"/>
    <w:rsid w:val="008D4CB4"/>
    <w:rsid w:val="008D4FAF"/>
    <w:rsid w:val="008D6215"/>
    <w:rsid w:val="008E346D"/>
    <w:rsid w:val="008E3FB3"/>
    <w:rsid w:val="008E50CA"/>
    <w:rsid w:val="008E685D"/>
    <w:rsid w:val="008E6BF5"/>
    <w:rsid w:val="008E733D"/>
    <w:rsid w:val="008F005B"/>
    <w:rsid w:val="008F2279"/>
    <w:rsid w:val="008F6CFE"/>
    <w:rsid w:val="00900ECA"/>
    <w:rsid w:val="00901937"/>
    <w:rsid w:val="00902F8E"/>
    <w:rsid w:val="009059A9"/>
    <w:rsid w:val="00905FE1"/>
    <w:rsid w:val="009060E2"/>
    <w:rsid w:val="00907ABB"/>
    <w:rsid w:val="00914A5A"/>
    <w:rsid w:val="00916275"/>
    <w:rsid w:val="00916884"/>
    <w:rsid w:val="0091765A"/>
    <w:rsid w:val="0092044C"/>
    <w:rsid w:val="009233C1"/>
    <w:rsid w:val="009268A4"/>
    <w:rsid w:val="00926D86"/>
    <w:rsid w:val="00931D43"/>
    <w:rsid w:val="009363CE"/>
    <w:rsid w:val="00937C54"/>
    <w:rsid w:val="00940F82"/>
    <w:rsid w:val="00946BC9"/>
    <w:rsid w:val="00947CC3"/>
    <w:rsid w:val="00952F82"/>
    <w:rsid w:val="009536CF"/>
    <w:rsid w:val="00956498"/>
    <w:rsid w:val="00961064"/>
    <w:rsid w:val="00965335"/>
    <w:rsid w:val="00971B50"/>
    <w:rsid w:val="00971C91"/>
    <w:rsid w:val="00977F16"/>
    <w:rsid w:val="0098455B"/>
    <w:rsid w:val="009866F9"/>
    <w:rsid w:val="00990B2A"/>
    <w:rsid w:val="009962BD"/>
    <w:rsid w:val="00996895"/>
    <w:rsid w:val="009A0101"/>
    <w:rsid w:val="009A3AF8"/>
    <w:rsid w:val="009A3E41"/>
    <w:rsid w:val="009A452C"/>
    <w:rsid w:val="009A5933"/>
    <w:rsid w:val="009A66E5"/>
    <w:rsid w:val="009B059E"/>
    <w:rsid w:val="009B5738"/>
    <w:rsid w:val="009B5B0C"/>
    <w:rsid w:val="009C05FC"/>
    <w:rsid w:val="009C16DB"/>
    <w:rsid w:val="009C249B"/>
    <w:rsid w:val="009C6619"/>
    <w:rsid w:val="009D14AF"/>
    <w:rsid w:val="009D4A7A"/>
    <w:rsid w:val="009D4ADE"/>
    <w:rsid w:val="009D7831"/>
    <w:rsid w:val="009E2630"/>
    <w:rsid w:val="009E746F"/>
    <w:rsid w:val="009E7643"/>
    <w:rsid w:val="009E7854"/>
    <w:rsid w:val="009F0646"/>
    <w:rsid w:val="009F0FF7"/>
    <w:rsid w:val="009F73AF"/>
    <w:rsid w:val="00A10245"/>
    <w:rsid w:val="00A12D14"/>
    <w:rsid w:val="00A130A6"/>
    <w:rsid w:val="00A1437C"/>
    <w:rsid w:val="00A164F0"/>
    <w:rsid w:val="00A21546"/>
    <w:rsid w:val="00A2208B"/>
    <w:rsid w:val="00A27DB6"/>
    <w:rsid w:val="00A27E0E"/>
    <w:rsid w:val="00A307AE"/>
    <w:rsid w:val="00A319D3"/>
    <w:rsid w:val="00A31AD2"/>
    <w:rsid w:val="00A339E0"/>
    <w:rsid w:val="00A33A8E"/>
    <w:rsid w:val="00A34B14"/>
    <w:rsid w:val="00A355BC"/>
    <w:rsid w:val="00A4016A"/>
    <w:rsid w:val="00A41967"/>
    <w:rsid w:val="00A50BB6"/>
    <w:rsid w:val="00A5162D"/>
    <w:rsid w:val="00A52B67"/>
    <w:rsid w:val="00A54B21"/>
    <w:rsid w:val="00A56938"/>
    <w:rsid w:val="00A57DEF"/>
    <w:rsid w:val="00A63207"/>
    <w:rsid w:val="00A64345"/>
    <w:rsid w:val="00A71C16"/>
    <w:rsid w:val="00A72F9F"/>
    <w:rsid w:val="00A76903"/>
    <w:rsid w:val="00A817AB"/>
    <w:rsid w:val="00A8533A"/>
    <w:rsid w:val="00A87D53"/>
    <w:rsid w:val="00A90EA7"/>
    <w:rsid w:val="00A910E6"/>
    <w:rsid w:val="00A9148F"/>
    <w:rsid w:val="00A94201"/>
    <w:rsid w:val="00AA0E6F"/>
    <w:rsid w:val="00AA2991"/>
    <w:rsid w:val="00AA6DA3"/>
    <w:rsid w:val="00AA7CDC"/>
    <w:rsid w:val="00AB0D96"/>
    <w:rsid w:val="00AB3822"/>
    <w:rsid w:val="00AB4825"/>
    <w:rsid w:val="00AC4471"/>
    <w:rsid w:val="00AD309B"/>
    <w:rsid w:val="00AD43FB"/>
    <w:rsid w:val="00AE0E81"/>
    <w:rsid w:val="00AE0E9D"/>
    <w:rsid w:val="00AE1F09"/>
    <w:rsid w:val="00AE3AAB"/>
    <w:rsid w:val="00AE6A3F"/>
    <w:rsid w:val="00AE6C2E"/>
    <w:rsid w:val="00AE6CEC"/>
    <w:rsid w:val="00AE7C78"/>
    <w:rsid w:val="00AF16F6"/>
    <w:rsid w:val="00B01311"/>
    <w:rsid w:val="00B04B4E"/>
    <w:rsid w:val="00B06286"/>
    <w:rsid w:val="00B064B0"/>
    <w:rsid w:val="00B07E64"/>
    <w:rsid w:val="00B111A7"/>
    <w:rsid w:val="00B11A61"/>
    <w:rsid w:val="00B1215A"/>
    <w:rsid w:val="00B15BCB"/>
    <w:rsid w:val="00B21812"/>
    <w:rsid w:val="00B22387"/>
    <w:rsid w:val="00B224F3"/>
    <w:rsid w:val="00B26C6E"/>
    <w:rsid w:val="00B27664"/>
    <w:rsid w:val="00B30075"/>
    <w:rsid w:val="00B30563"/>
    <w:rsid w:val="00B30812"/>
    <w:rsid w:val="00B3162A"/>
    <w:rsid w:val="00B4341C"/>
    <w:rsid w:val="00B4399F"/>
    <w:rsid w:val="00B46339"/>
    <w:rsid w:val="00B51B7A"/>
    <w:rsid w:val="00B5325D"/>
    <w:rsid w:val="00B56C04"/>
    <w:rsid w:val="00B601EF"/>
    <w:rsid w:val="00B626C2"/>
    <w:rsid w:val="00B667CA"/>
    <w:rsid w:val="00B7196F"/>
    <w:rsid w:val="00B7274B"/>
    <w:rsid w:val="00B734DA"/>
    <w:rsid w:val="00B763A2"/>
    <w:rsid w:val="00B76A4C"/>
    <w:rsid w:val="00B7717E"/>
    <w:rsid w:val="00B77B23"/>
    <w:rsid w:val="00B83944"/>
    <w:rsid w:val="00B84E6B"/>
    <w:rsid w:val="00B86966"/>
    <w:rsid w:val="00B92AD3"/>
    <w:rsid w:val="00B93B64"/>
    <w:rsid w:val="00B96138"/>
    <w:rsid w:val="00B97352"/>
    <w:rsid w:val="00BA3A6C"/>
    <w:rsid w:val="00BA6B3F"/>
    <w:rsid w:val="00BB0ABE"/>
    <w:rsid w:val="00BB1C6B"/>
    <w:rsid w:val="00BB2B4A"/>
    <w:rsid w:val="00BB3A2D"/>
    <w:rsid w:val="00BB54D3"/>
    <w:rsid w:val="00BB62F5"/>
    <w:rsid w:val="00BD0B8A"/>
    <w:rsid w:val="00BD1C23"/>
    <w:rsid w:val="00BD30A3"/>
    <w:rsid w:val="00BD33AB"/>
    <w:rsid w:val="00BD5AB5"/>
    <w:rsid w:val="00BD6236"/>
    <w:rsid w:val="00BD6F79"/>
    <w:rsid w:val="00BE2340"/>
    <w:rsid w:val="00BE4953"/>
    <w:rsid w:val="00C0011F"/>
    <w:rsid w:val="00C02B76"/>
    <w:rsid w:val="00C04DA5"/>
    <w:rsid w:val="00C05E4B"/>
    <w:rsid w:val="00C122BE"/>
    <w:rsid w:val="00C13977"/>
    <w:rsid w:val="00C166A0"/>
    <w:rsid w:val="00C168AC"/>
    <w:rsid w:val="00C16D76"/>
    <w:rsid w:val="00C23023"/>
    <w:rsid w:val="00C23E2A"/>
    <w:rsid w:val="00C2533A"/>
    <w:rsid w:val="00C2706C"/>
    <w:rsid w:val="00C30B02"/>
    <w:rsid w:val="00C31470"/>
    <w:rsid w:val="00C33720"/>
    <w:rsid w:val="00C33E29"/>
    <w:rsid w:val="00C37989"/>
    <w:rsid w:val="00C41652"/>
    <w:rsid w:val="00C422BA"/>
    <w:rsid w:val="00C43283"/>
    <w:rsid w:val="00C45C6C"/>
    <w:rsid w:val="00C52A2B"/>
    <w:rsid w:val="00C53014"/>
    <w:rsid w:val="00C5396B"/>
    <w:rsid w:val="00C55459"/>
    <w:rsid w:val="00C56865"/>
    <w:rsid w:val="00C56F01"/>
    <w:rsid w:val="00C60A40"/>
    <w:rsid w:val="00C613E5"/>
    <w:rsid w:val="00C6571F"/>
    <w:rsid w:val="00C66CD0"/>
    <w:rsid w:val="00C7344C"/>
    <w:rsid w:val="00C75822"/>
    <w:rsid w:val="00C83539"/>
    <w:rsid w:val="00C83DB4"/>
    <w:rsid w:val="00C87F4C"/>
    <w:rsid w:val="00C91D70"/>
    <w:rsid w:val="00C91E56"/>
    <w:rsid w:val="00C969FE"/>
    <w:rsid w:val="00CA00FD"/>
    <w:rsid w:val="00CA397B"/>
    <w:rsid w:val="00CA5371"/>
    <w:rsid w:val="00CA597E"/>
    <w:rsid w:val="00CB3B0C"/>
    <w:rsid w:val="00CB480B"/>
    <w:rsid w:val="00CC375D"/>
    <w:rsid w:val="00CC4D8D"/>
    <w:rsid w:val="00CD0EF7"/>
    <w:rsid w:val="00CD1561"/>
    <w:rsid w:val="00CD2D52"/>
    <w:rsid w:val="00CD3161"/>
    <w:rsid w:val="00CD3D84"/>
    <w:rsid w:val="00CD4A48"/>
    <w:rsid w:val="00CD5C5B"/>
    <w:rsid w:val="00CD6A39"/>
    <w:rsid w:val="00CD7007"/>
    <w:rsid w:val="00CD78F2"/>
    <w:rsid w:val="00CE2AE1"/>
    <w:rsid w:val="00CE53E5"/>
    <w:rsid w:val="00CE5B33"/>
    <w:rsid w:val="00CE7B6D"/>
    <w:rsid w:val="00CF04C6"/>
    <w:rsid w:val="00CF10BF"/>
    <w:rsid w:val="00CF409A"/>
    <w:rsid w:val="00CF5BBA"/>
    <w:rsid w:val="00CF79CC"/>
    <w:rsid w:val="00D02F66"/>
    <w:rsid w:val="00D06EA6"/>
    <w:rsid w:val="00D10811"/>
    <w:rsid w:val="00D13A57"/>
    <w:rsid w:val="00D17D05"/>
    <w:rsid w:val="00D222C4"/>
    <w:rsid w:val="00D25C82"/>
    <w:rsid w:val="00D3021C"/>
    <w:rsid w:val="00D36E2F"/>
    <w:rsid w:val="00D37EDB"/>
    <w:rsid w:val="00D415DA"/>
    <w:rsid w:val="00D4592F"/>
    <w:rsid w:val="00D51CBF"/>
    <w:rsid w:val="00D60576"/>
    <w:rsid w:val="00D65B27"/>
    <w:rsid w:val="00D668E5"/>
    <w:rsid w:val="00D669DD"/>
    <w:rsid w:val="00D66F89"/>
    <w:rsid w:val="00D70EDA"/>
    <w:rsid w:val="00D72138"/>
    <w:rsid w:val="00D724E6"/>
    <w:rsid w:val="00D73C17"/>
    <w:rsid w:val="00D73F04"/>
    <w:rsid w:val="00D76AA2"/>
    <w:rsid w:val="00D77FC8"/>
    <w:rsid w:val="00D83D18"/>
    <w:rsid w:val="00D85EDD"/>
    <w:rsid w:val="00D875A4"/>
    <w:rsid w:val="00D878D9"/>
    <w:rsid w:val="00D90DA0"/>
    <w:rsid w:val="00D91755"/>
    <w:rsid w:val="00D933C5"/>
    <w:rsid w:val="00D9385C"/>
    <w:rsid w:val="00D95452"/>
    <w:rsid w:val="00D9675B"/>
    <w:rsid w:val="00D9743E"/>
    <w:rsid w:val="00DA0969"/>
    <w:rsid w:val="00DA4D11"/>
    <w:rsid w:val="00DA5F46"/>
    <w:rsid w:val="00DA5F8F"/>
    <w:rsid w:val="00DA6414"/>
    <w:rsid w:val="00DB071B"/>
    <w:rsid w:val="00DB27CE"/>
    <w:rsid w:val="00DB3658"/>
    <w:rsid w:val="00DB3F06"/>
    <w:rsid w:val="00DB4561"/>
    <w:rsid w:val="00DC033F"/>
    <w:rsid w:val="00DC63D9"/>
    <w:rsid w:val="00DD28F2"/>
    <w:rsid w:val="00DD4347"/>
    <w:rsid w:val="00DD4F2A"/>
    <w:rsid w:val="00DD55A5"/>
    <w:rsid w:val="00DD79DB"/>
    <w:rsid w:val="00DF0F60"/>
    <w:rsid w:val="00DF1C60"/>
    <w:rsid w:val="00DF5480"/>
    <w:rsid w:val="00E01611"/>
    <w:rsid w:val="00E029F6"/>
    <w:rsid w:val="00E04C11"/>
    <w:rsid w:val="00E06735"/>
    <w:rsid w:val="00E16269"/>
    <w:rsid w:val="00E21708"/>
    <w:rsid w:val="00E22301"/>
    <w:rsid w:val="00E229CB"/>
    <w:rsid w:val="00E40B9C"/>
    <w:rsid w:val="00E43DF4"/>
    <w:rsid w:val="00E43EA6"/>
    <w:rsid w:val="00E51C2D"/>
    <w:rsid w:val="00E52678"/>
    <w:rsid w:val="00E5564C"/>
    <w:rsid w:val="00E568B4"/>
    <w:rsid w:val="00E57599"/>
    <w:rsid w:val="00E57EA8"/>
    <w:rsid w:val="00E62453"/>
    <w:rsid w:val="00E629DB"/>
    <w:rsid w:val="00E71426"/>
    <w:rsid w:val="00E72556"/>
    <w:rsid w:val="00E74A16"/>
    <w:rsid w:val="00E77EEF"/>
    <w:rsid w:val="00E806D6"/>
    <w:rsid w:val="00E84A9E"/>
    <w:rsid w:val="00E87560"/>
    <w:rsid w:val="00E91B41"/>
    <w:rsid w:val="00E94362"/>
    <w:rsid w:val="00E97F72"/>
    <w:rsid w:val="00EA4B92"/>
    <w:rsid w:val="00EA5DD3"/>
    <w:rsid w:val="00EA7481"/>
    <w:rsid w:val="00EB0530"/>
    <w:rsid w:val="00EB25F6"/>
    <w:rsid w:val="00EB4808"/>
    <w:rsid w:val="00EC01F1"/>
    <w:rsid w:val="00EC391F"/>
    <w:rsid w:val="00EC49FE"/>
    <w:rsid w:val="00EC4BD0"/>
    <w:rsid w:val="00EC7EC4"/>
    <w:rsid w:val="00ED0C74"/>
    <w:rsid w:val="00ED376E"/>
    <w:rsid w:val="00ED3EC9"/>
    <w:rsid w:val="00ED5789"/>
    <w:rsid w:val="00ED7194"/>
    <w:rsid w:val="00EE2183"/>
    <w:rsid w:val="00EE4DC8"/>
    <w:rsid w:val="00EE571F"/>
    <w:rsid w:val="00EE5E58"/>
    <w:rsid w:val="00EE6902"/>
    <w:rsid w:val="00EE7D25"/>
    <w:rsid w:val="00EF2F41"/>
    <w:rsid w:val="00EF78BB"/>
    <w:rsid w:val="00EF7D53"/>
    <w:rsid w:val="00F00568"/>
    <w:rsid w:val="00F0178F"/>
    <w:rsid w:val="00F05041"/>
    <w:rsid w:val="00F104B5"/>
    <w:rsid w:val="00F1085D"/>
    <w:rsid w:val="00F116C6"/>
    <w:rsid w:val="00F11AD9"/>
    <w:rsid w:val="00F1639E"/>
    <w:rsid w:val="00F16950"/>
    <w:rsid w:val="00F25851"/>
    <w:rsid w:val="00F269E5"/>
    <w:rsid w:val="00F3031B"/>
    <w:rsid w:val="00F353B0"/>
    <w:rsid w:val="00F41DEF"/>
    <w:rsid w:val="00F42532"/>
    <w:rsid w:val="00F4354A"/>
    <w:rsid w:val="00F45CF9"/>
    <w:rsid w:val="00F57ECC"/>
    <w:rsid w:val="00F60CA3"/>
    <w:rsid w:val="00F6179E"/>
    <w:rsid w:val="00F641CC"/>
    <w:rsid w:val="00F65AC4"/>
    <w:rsid w:val="00F65D73"/>
    <w:rsid w:val="00F66013"/>
    <w:rsid w:val="00F6731E"/>
    <w:rsid w:val="00F73219"/>
    <w:rsid w:val="00F73F74"/>
    <w:rsid w:val="00F85597"/>
    <w:rsid w:val="00F9312F"/>
    <w:rsid w:val="00F94D19"/>
    <w:rsid w:val="00FA03AE"/>
    <w:rsid w:val="00FA23DD"/>
    <w:rsid w:val="00FA34A7"/>
    <w:rsid w:val="00FA7A98"/>
    <w:rsid w:val="00FB04C8"/>
    <w:rsid w:val="00FB3FA8"/>
    <w:rsid w:val="00FB49BB"/>
    <w:rsid w:val="00FB6DC0"/>
    <w:rsid w:val="00FC04D5"/>
    <w:rsid w:val="00FD3A2E"/>
    <w:rsid w:val="00FD3D7F"/>
    <w:rsid w:val="00FD3ECC"/>
    <w:rsid w:val="00FD4AFC"/>
    <w:rsid w:val="00FD509B"/>
    <w:rsid w:val="00FD5EE0"/>
    <w:rsid w:val="00FD6845"/>
    <w:rsid w:val="00FD6A15"/>
    <w:rsid w:val="00FE462A"/>
    <w:rsid w:val="00FE491E"/>
    <w:rsid w:val="00FE5DF5"/>
    <w:rsid w:val="00FF4131"/>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F2"/>
    <w:pPr>
      <w:spacing w:before="0" w:after="0" w:line="240" w:lineRule="auto"/>
    </w:pPr>
    <w:rPr>
      <w:sz w:val="22"/>
      <w:szCs w:val="22"/>
      <w:lang w:val="vi-VN"/>
    </w:rPr>
  </w:style>
  <w:style w:type="paragraph" w:styleId="Heading1">
    <w:name w:val="heading 1"/>
    <w:basedOn w:val="Normal"/>
    <w:next w:val="Normal"/>
    <w:link w:val="Heading1Char"/>
    <w:uiPriority w:val="9"/>
    <w:qFormat/>
    <w:rsid w:val="001276CA"/>
    <w:pPr>
      <w:spacing w:before="240" w:after="120"/>
      <w:outlineLvl w:val="0"/>
    </w:pPr>
    <w:rPr>
      <w:b/>
      <w:bCs/>
      <w:caps/>
      <w:szCs w:val="24"/>
    </w:rPr>
  </w:style>
  <w:style w:type="paragraph" w:styleId="Heading2">
    <w:name w:val="heading 2"/>
    <w:basedOn w:val="Normal"/>
    <w:next w:val="Normal"/>
    <w:link w:val="Heading2Char"/>
    <w:uiPriority w:val="9"/>
    <w:unhideWhenUsed/>
    <w:qFormat/>
    <w:rsid w:val="00EA4B92"/>
    <w:pPr>
      <w:tabs>
        <w:tab w:val="right" w:leader="hyphen" w:pos="9072"/>
      </w:tabs>
      <w:spacing w:before="240" w:after="120"/>
      <w:outlineLvl w:val="1"/>
    </w:pPr>
    <w:rPr>
      <w:b/>
      <w:bCs/>
      <w:lang w:val="en-US"/>
    </w:rPr>
  </w:style>
  <w:style w:type="paragraph" w:styleId="Heading3">
    <w:name w:val="heading 3"/>
    <w:basedOn w:val="Normal"/>
    <w:next w:val="Normal"/>
    <w:link w:val="Heading3Char"/>
    <w:uiPriority w:val="9"/>
    <w:unhideWhenUsed/>
    <w:qFormat/>
    <w:rsid w:val="00B87B47"/>
    <w:pPr>
      <w:keepNext/>
      <w:keepLines/>
      <w:numPr>
        <w:ilvl w:val="2"/>
        <w:numId w:val="1"/>
      </w:numPr>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276CA"/>
    <w:rPr>
      <w:b/>
      <w:bCs/>
      <w:caps/>
      <w:sz w:val="22"/>
      <w:szCs w:val="24"/>
      <w:lang w:val="vi-VN"/>
    </w:rPr>
  </w:style>
  <w:style w:type="character" w:customStyle="1" w:styleId="Heading2Char">
    <w:name w:val="Heading 2 Char"/>
    <w:basedOn w:val="DefaultParagraphFont"/>
    <w:link w:val="Heading2"/>
    <w:uiPriority w:val="9"/>
    <w:rsid w:val="00EA4B92"/>
    <w:rPr>
      <w:b/>
      <w:bCs/>
      <w:sz w:val="22"/>
      <w:szCs w:val="22"/>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customStyle="1" w:styleId="UnresolvedMention2">
    <w:name w:val="Unresolved Mention2"/>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 w:type="character" w:customStyle="1" w:styleId="katex-mathml">
    <w:name w:val="katex-mathml"/>
    <w:basedOn w:val="DefaultParagraphFont"/>
    <w:rsid w:val="005F06DB"/>
  </w:style>
  <w:style w:type="character" w:customStyle="1" w:styleId="mord">
    <w:name w:val="mord"/>
    <w:basedOn w:val="DefaultParagraphFont"/>
    <w:rsid w:val="005F06DB"/>
  </w:style>
  <w:style w:type="character" w:customStyle="1" w:styleId="mpunct">
    <w:name w:val="mpunct"/>
    <w:basedOn w:val="DefaultParagraphFont"/>
    <w:rsid w:val="005F06DB"/>
  </w:style>
  <w:style w:type="character" w:customStyle="1" w:styleId="vlist-s">
    <w:name w:val="vlist-s"/>
    <w:basedOn w:val="DefaultParagraphFont"/>
    <w:rsid w:val="005F06DB"/>
  </w:style>
  <w:style w:type="character" w:customStyle="1" w:styleId="mrel">
    <w:name w:val="mrel"/>
    <w:basedOn w:val="DefaultParagraphFont"/>
    <w:rsid w:val="005F06DB"/>
  </w:style>
  <w:style w:type="character" w:customStyle="1" w:styleId="mbin">
    <w:name w:val="mbin"/>
    <w:basedOn w:val="DefaultParagraphFont"/>
    <w:rsid w:val="005F06DB"/>
  </w:style>
  <w:style w:type="character" w:styleId="Strong">
    <w:name w:val="Strong"/>
    <w:basedOn w:val="DefaultParagraphFont"/>
    <w:uiPriority w:val="22"/>
    <w:qFormat/>
    <w:rsid w:val="001F16D8"/>
    <w:rPr>
      <w:b/>
      <w:bCs/>
    </w:rPr>
  </w:style>
  <w:style w:type="character" w:styleId="UnresolvedMention">
    <w:name w:val="Unresolved Mention"/>
    <w:basedOn w:val="DefaultParagraphFont"/>
    <w:uiPriority w:val="99"/>
    <w:semiHidden/>
    <w:unhideWhenUsed/>
    <w:rsid w:val="007E3A0D"/>
    <w:rPr>
      <w:color w:val="605E5C"/>
      <w:shd w:val="clear" w:color="auto" w:fill="E1DFDD"/>
    </w:rPr>
  </w:style>
  <w:style w:type="paragraph" w:customStyle="1" w:styleId="Content">
    <w:name w:val="Content"/>
    <w:basedOn w:val="Normal"/>
    <w:link w:val="ContentChar"/>
    <w:qFormat/>
    <w:rsid w:val="00EA4B92"/>
    <w:pPr>
      <w:spacing w:before="120" w:after="120"/>
    </w:pPr>
  </w:style>
  <w:style w:type="character" w:customStyle="1" w:styleId="ContentChar">
    <w:name w:val="Content Char"/>
    <w:basedOn w:val="DefaultParagraphFont"/>
    <w:link w:val="Content"/>
    <w:rsid w:val="00EA4B92"/>
    <w:rPr>
      <w:sz w:val="22"/>
      <w:szCs w:val="22"/>
      <w:lang w:val="vi-VN"/>
    </w:rPr>
  </w:style>
  <w:style w:type="character" w:styleId="Emphasis">
    <w:name w:val="Emphasis"/>
    <w:basedOn w:val="DefaultParagraphFont"/>
    <w:uiPriority w:val="20"/>
    <w:qFormat/>
    <w:rsid w:val="006E0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5536">
      <w:bodyDiv w:val="1"/>
      <w:marLeft w:val="0"/>
      <w:marRight w:val="0"/>
      <w:marTop w:val="0"/>
      <w:marBottom w:val="0"/>
      <w:divBdr>
        <w:top w:val="none" w:sz="0" w:space="0" w:color="auto"/>
        <w:left w:val="none" w:sz="0" w:space="0" w:color="auto"/>
        <w:bottom w:val="none" w:sz="0" w:space="0" w:color="auto"/>
        <w:right w:val="none" w:sz="0" w:space="0" w:color="auto"/>
      </w:divBdr>
    </w:div>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04811120">
      <w:bodyDiv w:val="1"/>
      <w:marLeft w:val="0"/>
      <w:marRight w:val="0"/>
      <w:marTop w:val="0"/>
      <w:marBottom w:val="0"/>
      <w:divBdr>
        <w:top w:val="none" w:sz="0" w:space="0" w:color="auto"/>
        <w:left w:val="none" w:sz="0" w:space="0" w:color="auto"/>
        <w:bottom w:val="none" w:sz="0" w:space="0" w:color="auto"/>
        <w:right w:val="none" w:sz="0" w:space="0" w:color="auto"/>
      </w:divBdr>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4628">
      <w:bodyDiv w:val="1"/>
      <w:marLeft w:val="0"/>
      <w:marRight w:val="0"/>
      <w:marTop w:val="0"/>
      <w:marBottom w:val="0"/>
      <w:divBdr>
        <w:top w:val="none" w:sz="0" w:space="0" w:color="auto"/>
        <w:left w:val="none" w:sz="0" w:space="0" w:color="auto"/>
        <w:bottom w:val="none" w:sz="0" w:space="0" w:color="auto"/>
        <w:right w:val="none" w:sz="0" w:space="0" w:color="auto"/>
      </w:divBdr>
    </w:div>
    <w:div w:id="869144177">
      <w:bodyDiv w:val="1"/>
      <w:marLeft w:val="0"/>
      <w:marRight w:val="0"/>
      <w:marTop w:val="0"/>
      <w:marBottom w:val="0"/>
      <w:divBdr>
        <w:top w:val="none" w:sz="0" w:space="0" w:color="auto"/>
        <w:left w:val="none" w:sz="0" w:space="0" w:color="auto"/>
        <w:bottom w:val="none" w:sz="0" w:space="0" w:color="auto"/>
        <w:right w:val="none" w:sz="0" w:space="0" w:color="auto"/>
      </w:divBdr>
    </w:div>
    <w:div w:id="992873151">
      <w:bodyDiv w:val="1"/>
      <w:marLeft w:val="0"/>
      <w:marRight w:val="0"/>
      <w:marTop w:val="0"/>
      <w:marBottom w:val="0"/>
      <w:divBdr>
        <w:top w:val="none" w:sz="0" w:space="0" w:color="auto"/>
        <w:left w:val="none" w:sz="0" w:space="0" w:color="auto"/>
        <w:bottom w:val="none" w:sz="0" w:space="0" w:color="auto"/>
        <w:right w:val="none" w:sz="0" w:space="0" w:color="auto"/>
      </w:divBdr>
    </w:div>
    <w:div w:id="1130513491">
      <w:bodyDiv w:val="1"/>
      <w:marLeft w:val="0"/>
      <w:marRight w:val="0"/>
      <w:marTop w:val="0"/>
      <w:marBottom w:val="0"/>
      <w:divBdr>
        <w:top w:val="none" w:sz="0" w:space="0" w:color="auto"/>
        <w:left w:val="none" w:sz="0" w:space="0" w:color="auto"/>
        <w:bottom w:val="none" w:sz="0" w:space="0" w:color="auto"/>
        <w:right w:val="none" w:sz="0" w:space="0" w:color="auto"/>
      </w:divBdr>
    </w:div>
    <w:div w:id="1397824985">
      <w:bodyDiv w:val="1"/>
      <w:marLeft w:val="0"/>
      <w:marRight w:val="0"/>
      <w:marTop w:val="0"/>
      <w:marBottom w:val="0"/>
      <w:divBdr>
        <w:top w:val="none" w:sz="0" w:space="0" w:color="auto"/>
        <w:left w:val="none" w:sz="0" w:space="0" w:color="auto"/>
        <w:bottom w:val="none" w:sz="0" w:space="0" w:color="auto"/>
        <w:right w:val="none" w:sz="0" w:space="0" w:color="auto"/>
      </w:divBdr>
    </w:div>
    <w:div w:id="1464150561">
      <w:bodyDiv w:val="1"/>
      <w:marLeft w:val="0"/>
      <w:marRight w:val="0"/>
      <w:marTop w:val="0"/>
      <w:marBottom w:val="0"/>
      <w:divBdr>
        <w:top w:val="none" w:sz="0" w:space="0" w:color="auto"/>
        <w:left w:val="none" w:sz="0" w:space="0" w:color="auto"/>
        <w:bottom w:val="none" w:sz="0" w:space="0" w:color="auto"/>
        <w:right w:val="none" w:sz="0" w:space="0" w:color="auto"/>
      </w:divBdr>
    </w:div>
    <w:div w:id="1534491365">
      <w:bodyDiv w:val="1"/>
      <w:marLeft w:val="0"/>
      <w:marRight w:val="0"/>
      <w:marTop w:val="0"/>
      <w:marBottom w:val="0"/>
      <w:divBdr>
        <w:top w:val="none" w:sz="0" w:space="0" w:color="auto"/>
        <w:left w:val="none" w:sz="0" w:space="0" w:color="auto"/>
        <w:bottom w:val="none" w:sz="0" w:space="0" w:color="auto"/>
        <w:right w:val="none" w:sz="0" w:space="0" w:color="auto"/>
      </w:divBdr>
    </w:div>
    <w:div w:id="1542327314">
      <w:bodyDiv w:val="1"/>
      <w:marLeft w:val="0"/>
      <w:marRight w:val="0"/>
      <w:marTop w:val="0"/>
      <w:marBottom w:val="0"/>
      <w:divBdr>
        <w:top w:val="none" w:sz="0" w:space="0" w:color="auto"/>
        <w:left w:val="none" w:sz="0" w:space="0" w:color="auto"/>
        <w:bottom w:val="none" w:sz="0" w:space="0" w:color="auto"/>
        <w:right w:val="none" w:sz="0" w:space="0" w:color="auto"/>
      </w:divBdr>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 w:id="1579438075">
      <w:bodyDiv w:val="1"/>
      <w:marLeft w:val="0"/>
      <w:marRight w:val="0"/>
      <w:marTop w:val="0"/>
      <w:marBottom w:val="0"/>
      <w:divBdr>
        <w:top w:val="none" w:sz="0" w:space="0" w:color="auto"/>
        <w:left w:val="none" w:sz="0" w:space="0" w:color="auto"/>
        <w:bottom w:val="none" w:sz="0" w:space="0" w:color="auto"/>
        <w:right w:val="none" w:sz="0" w:space="0" w:color="auto"/>
      </w:divBdr>
    </w:div>
    <w:div w:id="1614165618">
      <w:bodyDiv w:val="1"/>
      <w:marLeft w:val="0"/>
      <w:marRight w:val="0"/>
      <w:marTop w:val="0"/>
      <w:marBottom w:val="0"/>
      <w:divBdr>
        <w:top w:val="none" w:sz="0" w:space="0" w:color="auto"/>
        <w:left w:val="none" w:sz="0" w:space="0" w:color="auto"/>
        <w:bottom w:val="none" w:sz="0" w:space="0" w:color="auto"/>
        <w:right w:val="none" w:sz="0" w:space="0" w:color="auto"/>
      </w:divBdr>
    </w:div>
    <w:div w:id="1767186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td1ocd@bol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thimydung.hcmc@ftu.edu.vn" TargetMode="External"/><Relationship Id="rId5" Type="http://schemas.openxmlformats.org/officeDocument/2006/relationships/settings" Target="settings.xml"/><Relationship Id="rId10" Type="http://schemas.openxmlformats.org/officeDocument/2006/relationships/hyperlink" Target="mailto:dtd1ocd@bolton.ac.uk" TargetMode="External"/><Relationship Id="rId4" Type="http://schemas.openxmlformats.org/officeDocument/2006/relationships/styles" Target="styles.xml"/><Relationship Id="rId9" Type="http://schemas.openxmlformats.org/officeDocument/2006/relationships/hyperlink" Target="mailto:dangthimydung.hcmc@ft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CBC3A-A887-4906-94B5-4BAED6F9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4628</Words>
  <Characters>26382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CSII_Đặng Thị Mỹ Dung</cp:lastModifiedBy>
  <cp:revision>25</cp:revision>
  <cp:lastPrinted>2026-03-12T03:53:00Z</cp:lastPrinted>
  <dcterms:created xsi:type="dcterms:W3CDTF">2026-03-12T11:12:00Z</dcterms:created>
  <dcterms:modified xsi:type="dcterms:W3CDTF">2026-03-13T03:09:00Z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