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378AD" w14:textId="77777777" w:rsidR="00BC18F8" w:rsidRDefault="00BC18F8" w:rsidP="007802CA">
      <w:pPr>
        <w:tabs>
          <w:tab w:val="left" w:pos="905"/>
        </w:tabs>
        <w:spacing w:line="480" w:lineRule="auto"/>
        <w:jc w:val="center"/>
        <w:rPr>
          <w:rFonts w:ascii="Arial" w:hAnsi="Arial" w:cs="Arial"/>
          <w:b/>
          <w:sz w:val="32"/>
          <w:szCs w:val="32"/>
        </w:rPr>
      </w:pPr>
    </w:p>
    <w:p w14:paraId="3F6CA86C" w14:textId="77777777" w:rsidR="00BC18F8" w:rsidRDefault="00BC18F8" w:rsidP="007802CA">
      <w:pPr>
        <w:tabs>
          <w:tab w:val="left" w:pos="905"/>
        </w:tabs>
        <w:spacing w:line="480" w:lineRule="auto"/>
        <w:jc w:val="center"/>
        <w:rPr>
          <w:rFonts w:ascii="Arial" w:hAnsi="Arial" w:cs="Arial"/>
          <w:b/>
          <w:sz w:val="32"/>
          <w:szCs w:val="32"/>
        </w:rPr>
      </w:pPr>
    </w:p>
    <w:p w14:paraId="48ADB717" w14:textId="11E954F3" w:rsidR="00DB3F17" w:rsidRPr="000B3E38" w:rsidRDefault="00A47525" w:rsidP="007802CA">
      <w:pPr>
        <w:tabs>
          <w:tab w:val="left" w:pos="905"/>
        </w:tabs>
        <w:spacing w:line="480" w:lineRule="auto"/>
        <w:jc w:val="center"/>
        <w:rPr>
          <w:rFonts w:ascii="Arial" w:hAnsi="Arial" w:cs="Arial"/>
          <w:b/>
          <w:sz w:val="32"/>
          <w:szCs w:val="32"/>
        </w:rPr>
      </w:pPr>
      <w:r w:rsidRPr="000B3E38">
        <w:rPr>
          <w:rFonts w:ascii="Arial" w:hAnsi="Arial" w:cs="Arial"/>
          <w:b/>
          <w:sz w:val="32"/>
          <w:szCs w:val="32"/>
        </w:rPr>
        <w:t>From memorable tourism experiences to green behaviour intention: the mediating role of place attachment in an emerging multi-ecosystem destination</w:t>
      </w:r>
    </w:p>
    <w:p w14:paraId="12F3FD9A" w14:textId="77777777" w:rsidR="00A47525" w:rsidRDefault="00A47525" w:rsidP="00A47525">
      <w:pPr>
        <w:spacing w:before="120" w:after="120" w:line="240" w:lineRule="auto"/>
        <w:jc w:val="center"/>
        <w:rPr>
          <w:rFonts w:ascii="Arial" w:hAnsi="Arial" w:cs="Arial"/>
          <w:b/>
          <w:sz w:val="32"/>
          <w:szCs w:val="32"/>
        </w:rPr>
      </w:pPr>
    </w:p>
    <w:p w14:paraId="62668137" w14:textId="2302ECC6" w:rsidR="00A47525" w:rsidRPr="00BC18F8" w:rsidRDefault="00A47525" w:rsidP="007802CA">
      <w:pPr>
        <w:jc w:val="center"/>
        <w:rPr>
          <w:b/>
        </w:rPr>
      </w:pPr>
      <w:r w:rsidRPr="000F01A0">
        <w:rPr>
          <w:b/>
        </w:rPr>
        <w:t>Pham Tran Truc Vien</w:t>
      </w:r>
      <w:r>
        <w:rPr>
          <w:b/>
          <w:vertAlign w:val="superscript"/>
        </w:rPr>
        <w:t>1</w:t>
      </w:r>
      <w:r w:rsidRPr="000F01A0">
        <w:rPr>
          <w:b/>
          <w:vertAlign w:val="superscript"/>
        </w:rPr>
        <w:t>*</w:t>
      </w:r>
      <w:r>
        <w:rPr>
          <w:b/>
        </w:rPr>
        <w:t xml:space="preserve">, </w:t>
      </w:r>
      <w:r w:rsidRPr="000F01A0">
        <w:rPr>
          <w:b/>
        </w:rPr>
        <w:t>Nguyen Thi Bich Lieu</w:t>
      </w:r>
      <w:r>
        <w:rPr>
          <w:b/>
          <w:vertAlign w:val="superscript"/>
        </w:rPr>
        <w:t>1</w:t>
      </w:r>
      <w:r w:rsidR="00BC18F8">
        <w:rPr>
          <w:b/>
        </w:rPr>
        <w:t>, Tran Hoang Phu</w:t>
      </w:r>
    </w:p>
    <w:p w14:paraId="663857B9" w14:textId="77777777" w:rsidR="007802CA" w:rsidRPr="00A47525" w:rsidRDefault="007802CA" w:rsidP="007802CA">
      <w:pPr>
        <w:jc w:val="center"/>
        <w:rPr>
          <w:b/>
          <w:vertAlign w:val="superscript"/>
        </w:rPr>
      </w:pPr>
    </w:p>
    <w:p w14:paraId="203607F2" w14:textId="549F4333" w:rsidR="00A47525" w:rsidRDefault="000B3E38" w:rsidP="007802CA">
      <w:pPr>
        <w:jc w:val="center"/>
        <w:rPr>
          <w:i/>
        </w:rPr>
      </w:pPr>
      <w:r w:rsidRPr="007802CA">
        <w:rPr>
          <w:i/>
          <w:vertAlign w:val="superscript"/>
        </w:rPr>
        <w:t>1</w:t>
      </w:r>
      <w:r w:rsidR="00A47525" w:rsidRPr="007802CA">
        <w:rPr>
          <w:i/>
        </w:rPr>
        <w:t>Faculty of Finance-Banking and Business Administration</w:t>
      </w:r>
      <w:r w:rsidR="007802CA">
        <w:rPr>
          <w:i/>
        </w:rPr>
        <w:t xml:space="preserve">, </w:t>
      </w:r>
      <w:r w:rsidR="00A47525" w:rsidRPr="007802CA">
        <w:rPr>
          <w:i/>
        </w:rPr>
        <w:t>Quy Nhon University</w:t>
      </w:r>
      <w:r w:rsidR="007802CA">
        <w:rPr>
          <w:i/>
        </w:rPr>
        <w:t xml:space="preserve">, </w:t>
      </w:r>
      <w:r w:rsidR="00A47525" w:rsidRPr="007802CA">
        <w:rPr>
          <w:i/>
        </w:rPr>
        <w:t>170 An Duong Vuong street, Quy Nhon Nam, Gia Lai</w:t>
      </w:r>
    </w:p>
    <w:p w14:paraId="7CE1CFAB" w14:textId="77777777" w:rsidR="007802CA" w:rsidRPr="007802CA" w:rsidRDefault="007802CA" w:rsidP="007802CA">
      <w:pPr>
        <w:jc w:val="center"/>
        <w:rPr>
          <w:i/>
        </w:rPr>
      </w:pPr>
    </w:p>
    <w:p w14:paraId="5710C2B8" w14:textId="77777777" w:rsidR="00A47525" w:rsidRPr="007802CA" w:rsidRDefault="00A47525" w:rsidP="007802CA">
      <w:pPr>
        <w:spacing w:line="480" w:lineRule="auto"/>
        <w:jc w:val="center"/>
        <w:rPr>
          <w:i/>
        </w:rPr>
      </w:pPr>
      <w:r w:rsidRPr="007802CA">
        <w:rPr>
          <w:i/>
        </w:rPr>
        <w:t xml:space="preserve">* Corresponding author, Email address: </w:t>
      </w:r>
      <w:hyperlink r:id="rId6" w:history="1">
        <w:r w:rsidRPr="007802CA">
          <w:rPr>
            <w:rStyle w:val="Hyperlink"/>
            <w:i/>
          </w:rPr>
          <w:t>phamtrantrucvien@qnu.edu.vn</w:t>
        </w:r>
      </w:hyperlink>
    </w:p>
    <w:p w14:paraId="3F5578A7" w14:textId="77777777" w:rsidR="00EB6639" w:rsidRDefault="00EB6639" w:rsidP="00EB6639">
      <w:pPr>
        <w:ind w:right="70"/>
        <w:jc w:val="center"/>
        <w:rPr>
          <w:i/>
          <w:sz w:val="22"/>
        </w:rPr>
      </w:pPr>
      <w:r>
        <w:rPr>
          <w:i/>
          <w:sz w:val="22"/>
        </w:rPr>
        <w:t>Received: dd/mm/yyyy; Revised: dd/mm/yyyy;</w:t>
      </w:r>
    </w:p>
    <w:p w14:paraId="4D027FB3" w14:textId="77777777" w:rsidR="00EB6639" w:rsidRDefault="00EB6639" w:rsidP="00EB6639">
      <w:pPr>
        <w:ind w:right="70"/>
        <w:jc w:val="center"/>
        <w:rPr>
          <w:i/>
          <w:sz w:val="22"/>
        </w:rPr>
      </w:pPr>
      <w:r>
        <w:rPr>
          <w:i/>
          <w:sz w:val="22"/>
        </w:rPr>
        <w:t>Accepted: dd/mm/yyyy; Published: dd/mm/yyyy</w:t>
      </w:r>
    </w:p>
    <w:p w14:paraId="272CECD9" w14:textId="77777777" w:rsidR="00A47525" w:rsidRPr="00A47525" w:rsidRDefault="00A47525" w:rsidP="007802CA">
      <w:pPr>
        <w:spacing w:before="120" w:after="120" w:line="480" w:lineRule="auto"/>
        <w:jc w:val="center"/>
        <w:rPr>
          <w:rFonts w:ascii="Arial" w:hAnsi="Arial" w:cs="Arial"/>
          <w:b/>
          <w:sz w:val="32"/>
          <w:szCs w:val="32"/>
        </w:rPr>
      </w:pPr>
    </w:p>
    <w:p w14:paraId="2F97A794" w14:textId="546660A9" w:rsidR="00DB3F17" w:rsidRPr="00A47525" w:rsidRDefault="00A47525" w:rsidP="007802CA">
      <w:pPr>
        <w:spacing w:before="120" w:after="120" w:line="480" w:lineRule="auto"/>
        <w:rPr>
          <w:rFonts w:eastAsiaTheme="majorEastAsia" w:cs="Times New Roman"/>
          <w:b/>
          <w:sz w:val="22"/>
        </w:rPr>
      </w:pPr>
      <w:r w:rsidRPr="00A47525">
        <w:rPr>
          <w:rFonts w:eastAsiaTheme="majorEastAsia" w:cs="Times New Roman"/>
          <w:b/>
          <w:sz w:val="22"/>
        </w:rPr>
        <w:t>ABSTRACT</w:t>
      </w:r>
    </w:p>
    <w:p w14:paraId="6DF391E6" w14:textId="33A5604E" w:rsidR="00DB3F17" w:rsidRDefault="00FE198B" w:rsidP="00C14077">
      <w:pPr>
        <w:spacing w:before="120" w:after="120" w:line="240" w:lineRule="auto"/>
        <w:ind w:firstLine="562"/>
        <w:jc w:val="both"/>
        <w:rPr>
          <w:rFonts w:cs="Times New Roman"/>
          <w:sz w:val="20"/>
          <w:szCs w:val="20"/>
        </w:rPr>
      </w:pPr>
      <w:r w:rsidRPr="00FE198B">
        <w:rPr>
          <w:rFonts w:cs="Times New Roman"/>
          <w:sz w:val="20"/>
          <w:szCs w:val="20"/>
        </w:rPr>
        <w:t>This study investigates how memorable tourism experiences (MTE) influence tourists’ green behavioural intention through the mediating role of place attachment in an emerging multi-ecosystem destination. Grounded in the stimulus–organism–response</w:t>
      </w:r>
      <w:r w:rsidR="00AF6C8B">
        <w:rPr>
          <w:rFonts w:cs="Times New Roman"/>
          <w:sz w:val="20"/>
          <w:szCs w:val="20"/>
        </w:rPr>
        <w:t xml:space="preserve"> (S-O-R)</w:t>
      </w:r>
      <w:r w:rsidRPr="00FE198B">
        <w:rPr>
          <w:rFonts w:cs="Times New Roman"/>
          <w:sz w:val="20"/>
          <w:szCs w:val="20"/>
        </w:rPr>
        <w:t xml:space="preserve"> framework, the research develops and tests a structural model using survey data collected from domestic tourists visiting Gia Lai, Vietnam. The structural equation modelling results reveal a differentiated pattern of effects among MTE dimensions. Specifically, </w:t>
      </w:r>
      <w:r w:rsidRPr="00C53934">
        <w:rPr>
          <w:rFonts w:cs="Times New Roman"/>
          <w:sz w:val="20"/>
          <w:szCs w:val="20"/>
        </w:rPr>
        <w:t>local culture, refreshment, and knowledge significantly enhance place attachment, whereas hedonism, novelty, meaningfulness, and involvement show no significant influence</w:t>
      </w:r>
      <w:r w:rsidRPr="00FE198B">
        <w:rPr>
          <w:rFonts w:cs="Times New Roman"/>
          <w:sz w:val="20"/>
          <w:szCs w:val="20"/>
        </w:rPr>
        <w:t>. Place attachment, in turn, exerts a strong positive effect on green behavioural intention. These findings underscore the pivotal role of emotionally and cognitively meaningful experiences in fostering sustainable tourist behaviour. The study contributes to the literature by clarifying which experiential components most effectively build place attachment and by confirming its mediating role in translating tourism experiences into pro-environmental intentions. Practically, the results suggest that destination managers in emerging ecotourism regions should prioritise culturally authentic, restorative, and learning-oriented experiences to strengthen visitor–place bonds and promote environmentally responsible behaviour.</w:t>
      </w:r>
    </w:p>
    <w:p w14:paraId="348A7EBA" w14:textId="36DE2AD9" w:rsidR="00FE198B" w:rsidRPr="00FE198B" w:rsidRDefault="00FE198B" w:rsidP="00FE198B">
      <w:pPr>
        <w:spacing w:before="120" w:after="120" w:line="240" w:lineRule="auto"/>
        <w:rPr>
          <w:rFonts w:eastAsiaTheme="majorEastAsia" w:cs="Times New Roman"/>
          <w:sz w:val="22"/>
        </w:rPr>
      </w:pPr>
      <w:r w:rsidRPr="00C14077">
        <w:rPr>
          <w:rFonts w:eastAsiaTheme="majorEastAsia" w:cs="Times New Roman"/>
          <w:b/>
          <w:sz w:val="22"/>
        </w:rPr>
        <w:t>Keywords</w:t>
      </w:r>
      <w:r w:rsidRPr="00FE198B">
        <w:rPr>
          <w:rFonts w:eastAsiaTheme="majorEastAsia" w:cs="Times New Roman"/>
          <w:i/>
          <w:sz w:val="22"/>
        </w:rPr>
        <w:t>:</w:t>
      </w:r>
      <w:bookmarkStart w:id="0" w:name="_GoBack"/>
      <w:r>
        <w:rPr>
          <w:rFonts w:eastAsiaTheme="majorEastAsia" w:cs="Times New Roman"/>
          <w:i/>
          <w:sz w:val="22"/>
        </w:rPr>
        <w:t xml:space="preserve"> </w:t>
      </w:r>
      <w:r w:rsidRPr="00C14077">
        <w:rPr>
          <w:i/>
          <w:sz w:val="20"/>
          <w:szCs w:val="20"/>
        </w:rPr>
        <w:t>Memorable tourism experiences, Place attachment, Green behavioural intention, Sustainable tourism</w:t>
      </w:r>
      <w:r w:rsidR="000B3E38" w:rsidRPr="00C14077">
        <w:rPr>
          <w:i/>
          <w:sz w:val="20"/>
          <w:szCs w:val="20"/>
        </w:rPr>
        <w:t>,</w:t>
      </w:r>
      <w:r w:rsidRPr="00C14077">
        <w:rPr>
          <w:i/>
          <w:sz w:val="20"/>
          <w:szCs w:val="20"/>
        </w:rPr>
        <w:t xml:space="preserve"> Gia Lai.</w:t>
      </w:r>
      <w:bookmarkEnd w:id="0"/>
    </w:p>
    <w:p w14:paraId="1E453A3D" w14:textId="60D7FCD1" w:rsidR="00DB3F17" w:rsidRPr="00A47525" w:rsidRDefault="00DB3F17" w:rsidP="00A47525">
      <w:pPr>
        <w:spacing w:before="120" w:after="120" w:line="240" w:lineRule="auto"/>
        <w:rPr>
          <w:rFonts w:eastAsiaTheme="majorEastAsia" w:cs="Times New Roman"/>
          <w:b/>
          <w:sz w:val="22"/>
        </w:rPr>
      </w:pPr>
    </w:p>
    <w:p w14:paraId="54BEDDEA" w14:textId="77777777" w:rsidR="00E72C1E" w:rsidRDefault="00E72C1E" w:rsidP="00AF56B0">
      <w:pPr>
        <w:pStyle w:val="Heading1"/>
        <w:sectPr w:rsidR="00E72C1E" w:rsidSect="00AF56B0">
          <w:pgSz w:w="12240" w:h="15840"/>
          <w:pgMar w:top="1134" w:right="1134" w:bottom="1134" w:left="1418" w:header="720" w:footer="720" w:gutter="0"/>
          <w:cols w:space="720"/>
          <w:docGrid w:linePitch="360"/>
        </w:sectPr>
      </w:pPr>
    </w:p>
    <w:p w14:paraId="67F376B1" w14:textId="45908804" w:rsidR="00430FF8" w:rsidRPr="00FE198B" w:rsidRDefault="00AF56B0" w:rsidP="00AF56B0">
      <w:pPr>
        <w:pStyle w:val="Heading1"/>
      </w:pPr>
      <w:r>
        <w:t xml:space="preserve">1. </w:t>
      </w:r>
      <w:r w:rsidR="00FE198B" w:rsidRPr="00FE198B">
        <w:t>INTRODUCTION</w:t>
      </w:r>
    </w:p>
    <w:p w14:paraId="021D633C" w14:textId="6371DA40" w:rsidR="00430FF8" w:rsidRPr="00A47525" w:rsidRDefault="00430FF8" w:rsidP="00C53934">
      <w:pPr>
        <w:pStyle w:val="NormalWeb"/>
        <w:spacing w:before="120" w:beforeAutospacing="0" w:after="120" w:afterAutospacing="0"/>
        <w:ind w:firstLine="720"/>
        <w:jc w:val="both"/>
        <w:rPr>
          <w:sz w:val="22"/>
          <w:szCs w:val="22"/>
        </w:rPr>
      </w:pPr>
      <w:r w:rsidRPr="00A47525">
        <w:rPr>
          <w:sz w:val="22"/>
          <w:szCs w:val="22"/>
        </w:rPr>
        <w:t>Sustainable tourism development has become a central objective in tourism policy and research, particularly in destinations endowed with diverse natural and cultural resources. Beyond economic growth, tourism is increasingly expected to promote environmental protection and responsible visitor behaviour, thereby contributing to long-term destination sustainability. Previous studies have emphasised that tourists’ behavioural intentions are not solely driven by rational evaluation or normative pressure, but are strongly shaped by experiential and emotional processes formed during travel</w:t>
      </w:r>
      <w:r w:rsidR="00E11BD9">
        <w:rPr>
          <w:sz w:val="22"/>
          <w:szCs w:val="22"/>
        </w:rPr>
        <w:t xml:space="preserve"> [1, 2]</w:t>
      </w:r>
      <w:r w:rsidRPr="00A47525">
        <w:rPr>
          <w:sz w:val="22"/>
          <w:szCs w:val="22"/>
        </w:rPr>
        <w:t>.</w:t>
      </w:r>
    </w:p>
    <w:p w14:paraId="60ADAB05" w14:textId="709C40DA" w:rsidR="00430FF8" w:rsidRPr="00A47525" w:rsidRDefault="00430FF8" w:rsidP="00C53934">
      <w:pPr>
        <w:pStyle w:val="NormalWeb"/>
        <w:spacing w:before="120" w:beforeAutospacing="0" w:after="120" w:afterAutospacing="0"/>
        <w:ind w:firstLine="720"/>
        <w:jc w:val="both"/>
        <w:rPr>
          <w:sz w:val="22"/>
          <w:szCs w:val="22"/>
        </w:rPr>
      </w:pPr>
      <w:r w:rsidRPr="00A47525">
        <w:rPr>
          <w:sz w:val="22"/>
          <w:szCs w:val="22"/>
        </w:rPr>
        <w:t xml:space="preserve">Within this research stream, memorable tourism experiences </w:t>
      </w:r>
      <w:r w:rsidR="002651A1" w:rsidRPr="00A47525">
        <w:rPr>
          <w:sz w:val="22"/>
          <w:szCs w:val="22"/>
        </w:rPr>
        <w:t xml:space="preserve">(MTE) </w:t>
      </w:r>
      <w:r w:rsidRPr="00A47525">
        <w:rPr>
          <w:sz w:val="22"/>
          <w:szCs w:val="22"/>
        </w:rPr>
        <w:t xml:space="preserve">have emerged as a key construct for explaining post-visit attitudes and behaviours. </w:t>
      </w:r>
      <w:r w:rsidR="002651A1" w:rsidRPr="00A47525">
        <w:rPr>
          <w:sz w:val="22"/>
          <w:szCs w:val="22"/>
        </w:rPr>
        <w:t>MTE</w:t>
      </w:r>
      <w:r w:rsidRPr="00A47525">
        <w:rPr>
          <w:sz w:val="22"/>
          <w:szCs w:val="22"/>
        </w:rPr>
        <w:t xml:space="preserve"> refer to tourism experiences that are positively remembered and recalled after the trip, leaving lasting impressions on tourists’ emotions and perceptions</w:t>
      </w:r>
      <w:r w:rsidR="00E11BD9">
        <w:rPr>
          <w:sz w:val="22"/>
          <w:szCs w:val="22"/>
        </w:rPr>
        <w:t xml:space="preserve"> [3]</w:t>
      </w:r>
      <w:r w:rsidRPr="00A47525">
        <w:rPr>
          <w:sz w:val="22"/>
          <w:szCs w:val="22"/>
        </w:rPr>
        <w:t xml:space="preserve">. Empirical evidence suggests that </w:t>
      </w:r>
      <w:r w:rsidR="002651A1" w:rsidRPr="00A47525">
        <w:rPr>
          <w:sz w:val="22"/>
          <w:szCs w:val="22"/>
        </w:rPr>
        <w:t xml:space="preserve">MTE </w:t>
      </w:r>
      <w:r w:rsidRPr="00A47525">
        <w:rPr>
          <w:sz w:val="22"/>
          <w:szCs w:val="22"/>
        </w:rPr>
        <w:t>influence a range of behavioural outcomes, including satisfaction, destination image, loyalty, and revisit intention</w:t>
      </w:r>
      <w:r w:rsidR="00E11BD9">
        <w:rPr>
          <w:sz w:val="22"/>
          <w:szCs w:val="22"/>
        </w:rPr>
        <w:t xml:space="preserve"> [1], [4], [5].</w:t>
      </w:r>
      <w:r w:rsidR="002651A1" w:rsidRPr="00A47525">
        <w:rPr>
          <w:sz w:val="22"/>
          <w:szCs w:val="22"/>
        </w:rPr>
        <w:t xml:space="preserve">. </w:t>
      </w:r>
      <w:r w:rsidRPr="00A47525">
        <w:rPr>
          <w:sz w:val="22"/>
          <w:szCs w:val="22"/>
        </w:rPr>
        <w:t xml:space="preserve">However, most existing studies focus on conventional behavioural outcomes related to destination competitiveness, while the potential role of </w:t>
      </w:r>
      <w:r w:rsidR="00F73A76">
        <w:rPr>
          <w:sz w:val="22"/>
          <w:szCs w:val="22"/>
        </w:rPr>
        <w:t>MTE</w:t>
      </w:r>
      <w:r w:rsidRPr="00A47525">
        <w:rPr>
          <w:sz w:val="22"/>
          <w:szCs w:val="22"/>
        </w:rPr>
        <w:t xml:space="preserve"> in fostering environmentally responsible behaviour remains underexplored</w:t>
      </w:r>
      <w:r w:rsidR="00E11BD9">
        <w:rPr>
          <w:sz w:val="22"/>
          <w:szCs w:val="22"/>
        </w:rPr>
        <w:t xml:space="preserve"> [5], [6]</w:t>
      </w:r>
      <w:r w:rsidRPr="00A47525">
        <w:rPr>
          <w:sz w:val="22"/>
          <w:szCs w:val="22"/>
        </w:rPr>
        <w:t>.</w:t>
      </w:r>
      <w:r w:rsidR="00E72C1E">
        <w:rPr>
          <w:sz w:val="22"/>
          <w:szCs w:val="22"/>
        </w:rPr>
        <w:t xml:space="preserve"> </w:t>
      </w:r>
      <w:r w:rsidRPr="00A47525">
        <w:rPr>
          <w:sz w:val="22"/>
          <w:szCs w:val="22"/>
        </w:rPr>
        <w:t>Parallel to this line of inquiry, place attachment has been widely examined as a psychological bond between individuals and places</w:t>
      </w:r>
      <w:r w:rsidR="00E11BD9">
        <w:rPr>
          <w:sz w:val="22"/>
          <w:szCs w:val="22"/>
        </w:rPr>
        <w:t xml:space="preserve"> [5]</w:t>
      </w:r>
      <w:r w:rsidRPr="00A47525">
        <w:rPr>
          <w:sz w:val="22"/>
          <w:szCs w:val="22"/>
        </w:rPr>
        <w:t>, encompassing emotional attachment, functional dependence, and a sense of belonging</w:t>
      </w:r>
      <w:r w:rsidR="00E11BD9">
        <w:rPr>
          <w:sz w:val="22"/>
          <w:szCs w:val="22"/>
        </w:rPr>
        <w:t xml:space="preserve"> [7]</w:t>
      </w:r>
      <w:r w:rsidRPr="00A47525">
        <w:rPr>
          <w:sz w:val="22"/>
          <w:szCs w:val="22"/>
        </w:rPr>
        <w:t>. Place attachment has been shown to influence destination loyalty and revisit intention, as well as pro-environmental and environmentally responsible behaviour</w:t>
      </w:r>
      <w:r w:rsidR="008853AA">
        <w:rPr>
          <w:sz w:val="22"/>
          <w:szCs w:val="22"/>
        </w:rPr>
        <w:t xml:space="preserve"> [8], [9]</w:t>
      </w:r>
      <w:r w:rsidRPr="00A47525">
        <w:rPr>
          <w:sz w:val="22"/>
          <w:szCs w:val="22"/>
        </w:rPr>
        <w:t xml:space="preserve">. These findings suggest that tourists who develop strong emotional and functional bonds with a destination are more likely to engage in behaviours that protect and sustain that place. Nevertheless, the mechanisms through which </w:t>
      </w:r>
      <w:r w:rsidR="002651A1" w:rsidRPr="00A47525">
        <w:rPr>
          <w:sz w:val="22"/>
          <w:szCs w:val="22"/>
        </w:rPr>
        <w:t>MTE</w:t>
      </w:r>
      <w:r w:rsidRPr="00A47525">
        <w:rPr>
          <w:sz w:val="22"/>
          <w:szCs w:val="22"/>
        </w:rPr>
        <w:t xml:space="preserve"> contribute to place attachment, and how such attachment subsequently shapes green behavioural intentions, have not been sufficiently integrated into a unified empirical framework</w:t>
      </w:r>
      <w:r w:rsidR="008853AA">
        <w:rPr>
          <w:sz w:val="22"/>
          <w:szCs w:val="22"/>
        </w:rPr>
        <w:t xml:space="preserve"> [10].</w:t>
      </w:r>
    </w:p>
    <w:p w14:paraId="0186BDAE" w14:textId="6AE9124F" w:rsidR="00430FF8" w:rsidRPr="00A47525" w:rsidRDefault="00430FF8" w:rsidP="00C53934">
      <w:pPr>
        <w:pStyle w:val="NormalWeb"/>
        <w:spacing w:before="120" w:beforeAutospacing="0" w:after="120" w:afterAutospacing="0"/>
        <w:ind w:firstLine="720"/>
        <w:jc w:val="both"/>
        <w:rPr>
          <w:sz w:val="22"/>
          <w:szCs w:val="22"/>
        </w:rPr>
      </w:pPr>
      <w:r w:rsidRPr="00A47525">
        <w:rPr>
          <w:sz w:val="22"/>
          <w:szCs w:val="22"/>
        </w:rPr>
        <w:t xml:space="preserve">This gap in the literature is particularly evident in destinations characterised by ecological diversity and spatial integration. Most prior studies on </w:t>
      </w:r>
      <w:r w:rsidR="008B361C" w:rsidRPr="00A47525">
        <w:rPr>
          <w:sz w:val="22"/>
          <w:szCs w:val="22"/>
        </w:rPr>
        <w:t>MTE</w:t>
      </w:r>
      <w:r w:rsidRPr="00A47525">
        <w:rPr>
          <w:sz w:val="22"/>
          <w:szCs w:val="22"/>
        </w:rPr>
        <w:t xml:space="preserve"> and place attachment have been conducted in relatively homogeneous settings, such as urban heritage destinations or single-type natural attractions</w:t>
      </w:r>
      <w:r w:rsidR="008853AA">
        <w:rPr>
          <w:sz w:val="22"/>
          <w:szCs w:val="22"/>
        </w:rPr>
        <w:t xml:space="preserve"> [4], [9], [10]</w:t>
      </w:r>
      <w:r w:rsidRPr="00A47525">
        <w:rPr>
          <w:sz w:val="22"/>
          <w:szCs w:val="22"/>
        </w:rPr>
        <w:t>. Less attention has been paid to destinations that simultaneously encompass coastal ecosystems, forest landscapes, and protected natural areas, where tourists are exposed to multiple and contrasting environmental contexts within a single trip. In such destinations, the formation of place attachment and environmentally responsible intentions may be shaped by complex interactions between experiential, emotional, and ecological factors.</w:t>
      </w:r>
    </w:p>
    <w:p w14:paraId="68B54774" w14:textId="4648CDB8" w:rsidR="00430FF8" w:rsidRPr="00E72C1E" w:rsidRDefault="00430FF8" w:rsidP="00C53934">
      <w:pPr>
        <w:pStyle w:val="NormalWeb"/>
        <w:spacing w:before="120" w:beforeAutospacing="0" w:after="120" w:afterAutospacing="0"/>
        <w:ind w:firstLine="720"/>
        <w:jc w:val="both"/>
        <w:rPr>
          <w:sz w:val="22"/>
          <w:szCs w:val="22"/>
          <w:vertAlign w:val="superscript"/>
        </w:rPr>
      </w:pPr>
      <w:r w:rsidRPr="00A47525">
        <w:rPr>
          <w:sz w:val="22"/>
          <w:szCs w:val="22"/>
        </w:rPr>
        <w:t>Gia Lai province, following recent administrative consolidation, represents a particularly relevant context for examining these relationships. The province is characterised by a unique combination of marine tourism resources, forest ecosystems, and national parks, positioning it as an emerging multi-ecosystem destination. At the same time, rapid tourism development in the region has raised concerns regarding environmental degradation and the sustainability of natural resources. Local tourism policies increasingly emphasise the need to promote green tourism practices and environmentally responsible behaviour among visitors, highlighting the practical importance of understanding the psychological drivers of such behaviour</w:t>
      </w:r>
      <w:r w:rsidR="008853AA">
        <w:rPr>
          <w:sz w:val="22"/>
          <w:szCs w:val="22"/>
        </w:rPr>
        <w:t xml:space="preserve"> [4], [5], [7]</w:t>
      </w:r>
      <w:r w:rsidRPr="00A47525">
        <w:rPr>
          <w:sz w:val="22"/>
          <w:szCs w:val="22"/>
        </w:rPr>
        <w:t>.</w:t>
      </w:r>
      <w:r w:rsidR="00E72C1E">
        <w:rPr>
          <w:sz w:val="22"/>
          <w:szCs w:val="22"/>
          <w:vertAlign w:val="superscript"/>
        </w:rPr>
        <w:t xml:space="preserve"> </w:t>
      </w:r>
      <w:r w:rsidRPr="00A47525">
        <w:rPr>
          <w:sz w:val="22"/>
          <w:szCs w:val="22"/>
        </w:rPr>
        <w:t>Against this background, the present study aims to investigate the relationships between</w:t>
      </w:r>
      <w:r w:rsidR="00AF6C8B">
        <w:rPr>
          <w:sz w:val="22"/>
          <w:szCs w:val="22"/>
        </w:rPr>
        <w:t xml:space="preserve"> MTE</w:t>
      </w:r>
      <w:r w:rsidRPr="00A47525">
        <w:rPr>
          <w:sz w:val="22"/>
          <w:szCs w:val="22"/>
        </w:rPr>
        <w:t xml:space="preserve">, place attachment, and green behavioural intention in Gia Lai province. Specifically, the study examines how different dimensions of </w:t>
      </w:r>
      <w:r w:rsidR="004171F4">
        <w:rPr>
          <w:sz w:val="22"/>
          <w:szCs w:val="22"/>
        </w:rPr>
        <w:t>MTE</w:t>
      </w:r>
      <w:r w:rsidRPr="00A47525">
        <w:rPr>
          <w:sz w:val="22"/>
          <w:szCs w:val="22"/>
        </w:rPr>
        <w:t xml:space="preserve"> influence place attachment, and how place attachment, in turn, affects tourists’ intentions to engage in environmentally responsible behaviour. By employing structural equation modelling, the study provides an integrated analytical framework to explain how experiential factors are translated into green behavioural intentions through psychological attachment mechanisms.</w:t>
      </w:r>
    </w:p>
    <w:p w14:paraId="0D831FF9" w14:textId="1E3CDF75" w:rsidR="00430FF8" w:rsidRPr="00A47525" w:rsidRDefault="00430FF8" w:rsidP="00C53934">
      <w:pPr>
        <w:pStyle w:val="NormalWeb"/>
        <w:spacing w:before="120" w:beforeAutospacing="0" w:after="120" w:afterAutospacing="0"/>
        <w:ind w:firstLine="720"/>
        <w:jc w:val="both"/>
        <w:rPr>
          <w:sz w:val="22"/>
          <w:szCs w:val="22"/>
        </w:rPr>
      </w:pPr>
      <w:r w:rsidRPr="00A47525">
        <w:rPr>
          <w:sz w:val="22"/>
          <w:szCs w:val="22"/>
        </w:rPr>
        <w:t xml:space="preserve">This research </w:t>
      </w:r>
      <w:r w:rsidR="008853AA">
        <w:rPr>
          <w:sz w:val="22"/>
          <w:szCs w:val="22"/>
        </w:rPr>
        <w:t xml:space="preserve">aims to </w:t>
      </w:r>
      <w:r w:rsidRPr="00A47525">
        <w:rPr>
          <w:sz w:val="22"/>
          <w:szCs w:val="22"/>
        </w:rPr>
        <w:t xml:space="preserve">make three main contributions. First, it </w:t>
      </w:r>
      <w:r w:rsidR="008853AA">
        <w:rPr>
          <w:sz w:val="22"/>
          <w:szCs w:val="22"/>
        </w:rPr>
        <w:t xml:space="preserve">aims to </w:t>
      </w:r>
      <w:r w:rsidRPr="00A47525">
        <w:rPr>
          <w:sz w:val="22"/>
          <w:szCs w:val="22"/>
        </w:rPr>
        <w:t xml:space="preserve">extend </w:t>
      </w:r>
      <w:r w:rsidR="008B361C" w:rsidRPr="00A47525">
        <w:rPr>
          <w:sz w:val="22"/>
          <w:szCs w:val="22"/>
        </w:rPr>
        <w:t>MTE</w:t>
      </w:r>
      <w:r w:rsidRPr="00A47525">
        <w:rPr>
          <w:sz w:val="22"/>
          <w:szCs w:val="22"/>
        </w:rPr>
        <w:t xml:space="preserve"> research by positioning green behavioural intention as a key outcome variable, addressing a critical gap in the existing literature. Second, it empirically validates the mediating role of place attachment in the relationship between </w:t>
      </w:r>
      <w:r w:rsidR="008B361C" w:rsidRPr="00A47525">
        <w:rPr>
          <w:sz w:val="22"/>
          <w:szCs w:val="22"/>
        </w:rPr>
        <w:t>MTE</w:t>
      </w:r>
      <w:r w:rsidRPr="00A47525">
        <w:rPr>
          <w:sz w:val="22"/>
          <w:szCs w:val="22"/>
        </w:rPr>
        <w:t xml:space="preserve"> and green behavioural intention. Third, by focusing on a multi-ecosystem destination undergoing structural transformation, the study </w:t>
      </w:r>
      <w:r w:rsidR="008853AA">
        <w:rPr>
          <w:sz w:val="22"/>
          <w:szCs w:val="22"/>
        </w:rPr>
        <w:t xml:space="preserve">also aims to </w:t>
      </w:r>
      <w:r w:rsidRPr="00A47525">
        <w:rPr>
          <w:sz w:val="22"/>
          <w:szCs w:val="22"/>
        </w:rPr>
        <w:t>offer context-specific insights that are particularly relevant for sustainable tourism planning and management in Gia Lai and similar regions.</w:t>
      </w:r>
    </w:p>
    <w:p w14:paraId="7A6E41C2" w14:textId="25053E20" w:rsidR="003C22E5" w:rsidRPr="00A47525" w:rsidRDefault="00AF56B0" w:rsidP="00C53934">
      <w:pPr>
        <w:pStyle w:val="Heading1"/>
        <w:jc w:val="both"/>
      </w:pPr>
      <w:r>
        <w:t xml:space="preserve">2. </w:t>
      </w:r>
      <w:r w:rsidR="00FE198B" w:rsidRPr="00A47525">
        <w:t>THEORETICAL BACKGROUND AND HYPOTHESES DEVELOPMENT</w:t>
      </w:r>
    </w:p>
    <w:p w14:paraId="72DDB96B" w14:textId="09ABFFB5" w:rsidR="003C22E5" w:rsidRPr="00FE198B" w:rsidRDefault="00AF56B0" w:rsidP="00C53934">
      <w:pPr>
        <w:pStyle w:val="Heading2"/>
        <w:jc w:val="both"/>
      </w:pPr>
      <w:r>
        <w:t xml:space="preserve">2.1. </w:t>
      </w:r>
      <w:r w:rsidR="003C22E5" w:rsidRPr="00FE198B">
        <w:t>Memorable Tourism Experiences</w:t>
      </w:r>
    </w:p>
    <w:p w14:paraId="55359E1E" w14:textId="07520EF4" w:rsidR="00430FF8" w:rsidRPr="00E72C1E" w:rsidRDefault="008853AA" w:rsidP="00C53934">
      <w:pPr>
        <w:pStyle w:val="NormalWeb"/>
        <w:spacing w:before="120" w:beforeAutospacing="0" w:after="120" w:afterAutospacing="0"/>
        <w:ind w:firstLine="720"/>
        <w:jc w:val="both"/>
        <w:rPr>
          <w:sz w:val="22"/>
          <w:szCs w:val="22"/>
        </w:rPr>
      </w:pPr>
      <w:r>
        <w:rPr>
          <w:sz w:val="22"/>
          <w:szCs w:val="22"/>
        </w:rPr>
        <w:t>MTE</w:t>
      </w:r>
      <w:r w:rsidR="003C22E5" w:rsidRPr="00A47525">
        <w:rPr>
          <w:sz w:val="22"/>
          <w:szCs w:val="22"/>
        </w:rPr>
        <w:t xml:space="preserve"> have emerged as a central construct in contemporary tourism research, capturing how specific tourism experiences are encoded, retained, and subsequently recalled by tourists</w:t>
      </w:r>
      <w:r>
        <w:rPr>
          <w:sz w:val="22"/>
          <w:szCs w:val="22"/>
        </w:rPr>
        <w:t xml:space="preserve"> [11] – [13].</w:t>
      </w:r>
      <w:r w:rsidR="00AF6C8B">
        <w:rPr>
          <w:sz w:val="22"/>
          <w:szCs w:val="22"/>
        </w:rPr>
        <w:t>.</w:t>
      </w:r>
      <w:r w:rsidR="003C22E5" w:rsidRPr="00A47525">
        <w:rPr>
          <w:sz w:val="22"/>
          <w:szCs w:val="22"/>
        </w:rPr>
        <w:t>The conceptual foundation of MTE is rooted in the experience economy framework, which argues that staged, affective, and engaging experiences generate lasting value beyond functional service provision</w:t>
      </w:r>
      <w:r>
        <w:rPr>
          <w:sz w:val="22"/>
          <w:szCs w:val="22"/>
        </w:rPr>
        <w:t xml:space="preserve"> [1]</w:t>
      </w:r>
      <w:r w:rsidR="003C22E5" w:rsidRPr="00A47525">
        <w:rPr>
          <w:sz w:val="22"/>
          <w:szCs w:val="22"/>
        </w:rPr>
        <w:t>. Within this framework, tourism experiences that stimulate emotions, involvement, and personal meaning are more likely to be remembered and to influence post-visit evaluations and behaviours.</w:t>
      </w:r>
      <w:r w:rsidR="00E72C1E">
        <w:rPr>
          <w:sz w:val="22"/>
          <w:szCs w:val="22"/>
        </w:rPr>
        <w:t xml:space="preserve"> </w:t>
      </w:r>
      <w:r w:rsidR="003C22E5" w:rsidRPr="00A47525">
        <w:rPr>
          <w:sz w:val="22"/>
          <w:szCs w:val="22"/>
        </w:rPr>
        <w:t>The seminal work on MTE operationalisation was developed by Kim, Ritchie, and McCormick</w:t>
      </w:r>
      <w:r>
        <w:rPr>
          <w:sz w:val="22"/>
          <w:szCs w:val="22"/>
        </w:rPr>
        <w:t xml:space="preserve"> [1]</w:t>
      </w:r>
      <w:r w:rsidR="003C22E5" w:rsidRPr="00A47525">
        <w:rPr>
          <w:sz w:val="22"/>
          <w:szCs w:val="22"/>
        </w:rPr>
        <w:t xml:space="preserve">, who conceptualised MTE as a multidimensional construct consisting of novelty, hedonism, local culture, meaningfulness, refreshment, involvement, and </w:t>
      </w:r>
      <w:r>
        <w:rPr>
          <w:sz w:val="22"/>
          <w:szCs w:val="22"/>
        </w:rPr>
        <w:t>knowledge [6]</w:t>
      </w:r>
      <w:r w:rsidR="003C22E5" w:rsidRPr="00A47525">
        <w:rPr>
          <w:sz w:val="22"/>
          <w:szCs w:val="22"/>
        </w:rPr>
        <w:t>. Subsequent studies have refined and extended this framework by incorporating additional experiential attributes such as serendipity and service interaction, while maintaining the core multidimensional structure</w:t>
      </w:r>
      <w:r>
        <w:rPr>
          <w:sz w:val="22"/>
          <w:szCs w:val="22"/>
        </w:rPr>
        <w:t xml:space="preserve"> [3], [7] – [9]</w:t>
      </w:r>
      <w:r w:rsidR="003C22E5" w:rsidRPr="00A47525">
        <w:rPr>
          <w:sz w:val="22"/>
          <w:szCs w:val="22"/>
        </w:rPr>
        <w:t>. This approach allows researchers to examine how different experiential dimensions exert differentiated effects on psychological and behavioural outcomes.</w:t>
      </w:r>
      <w:r w:rsidR="00E72C1E">
        <w:rPr>
          <w:sz w:val="22"/>
          <w:szCs w:val="22"/>
        </w:rPr>
        <w:t xml:space="preserve"> </w:t>
      </w:r>
      <w:r w:rsidR="003C22E5" w:rsidRPr="00A47525">
        <w:rPr>
          <w:sz w:val="22"/>
        </w:rPr>
        <w:t>Empirical evidence consistently demonstrates that MTE is associated with satisfaction, destination image, loyalty, revisit intention, and word-of-mouth communication</w:t>
      </w:r>
      <w:r>
        <w:rPr>
          <w:sz w:val="22"/>
        </w:rPr>
        <w:t xml:space="preserve"> [4], [5]</w:t>
      </w:r>
      <w:r w:rsidR="003C22E5" w:rsidRPr="00A47525">
        <w:rPr>
          <w:sz w:val="22"/>
        </w:rPr>
        <w:t>. More recent studies have begun to extend the scope of MTE to socially desirable outcomes, including pro-social and environmentally responsible behaviours, particularly in nature-based and cultural tourism contexts</w:t>
      </w:r>
      <w:r>
        <w:rPr>
          <w:sz w:val="22"/>
        </w:rPr>
        <w:t xml:space="preserve"> [6], [7].</w:t>
      </w:r>
      <w:r w:rsidR="003C22E5" w:rsidRPr="00A47525">
        <w:rPr>
          <w:sz w:val="22"/>
        </w:rPr>
        <w:t xml:space="preserve"> By conceptualising MTE as a multidimensional construct, researchers can disentangle how affective, cognitive, and restorative elements of experience shape tourists’ perceptions and subsequent behaviours</w:t>
      </w:r>
      <w:r w:rsidR="00EB6639">
        <w:rPr>
          <w:sz w:val="22"/>
        </w:rPr>
        <w:t>. This approach</w:t>
      </w:r>
      <w:r w:rsidR="003C22E5" w:rsidRPr="00A47525">
        <w:rPr>
          <w:sz w:val="22"/>
        </w:rPr>
        <w:t xml:space="preserve"> is especially relevant in emerging tourism destinations such as Vietnam.</w:t>
      </w:r>
    </w:p>
    <w:p w14:paraId="04FFD5D2" w14:textId="2F8E4DCE" w:rsidR="003C22E5" w:rsidRPr="00A47525" w:rsidRDefault="00AF56B0" w:rsidP="00C53934">
      <w:pPr>
        <w:pStyle w:val="Heading2"/>
        <w:jc w:val="both"/>
      </w:pPr>
      <w:r>
        <w:t xml:space="preserve">2.2. </w:t>
      </w:r>
      <w:r w:rsidR="003C22E5" w:rsidRPr="00A47525">
        <w:t>Place Attachment</w:t>
      </w:r>
    </w:p>
    <w:p w14:paraId="3F2D3E98" w14:textId="0F47956E"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 xml:space="preserve">Place attachment </w:t>
      </w:r>
      <w:r w:rsidRPr="00EB6639">
        <w:rPr>
          <w:sz w:val="22"/>
          <w:szCs w:val="22"/>
        </w:rPr>
        <w:t>(PA)</w:t>
      </w:r>
      <w:r w:rsidRPr="00A47525">
        <w:rPr>
          <w:sz w:val="22"/>
          <w:szCs w:val="22"/>
        </w:rPr>
        <w:t xml:space="preserve"> is widely understood as the emotional and psychological bond that individuals develop with specific places. In environmental psychology, </w:t>
      </w:r>
      <w:r w:rsidR="00144B90" w:rsidRPr="00A47525">
        <w:rPr>
          <w:sz w:val="22"/>
          <w:szCs w:val="22"/>
        </w:rPr>
        <w:t>place attachment</w:t>
      </w:r>
      <w:r w:rsidRPr="00A47525">
        <w:rPr>
          <w:sz w:val="22"/>
          <w:szCs w:val="22"/>
        </w:rPr>
        <w:t xml:space="preserve"> is commonly defined as an affective link between people and places that reflects feelings of belonging, identity, and dependence</w:t>
      </w:r>
      <w:r w:rsidR="0072179E">
        <w:rPr>
          <w:sz w:val="22"/>
          <w:szCs w:val="22"/>
        </w:rPr>
        <w:t xml:space="preserve"> [4], [8]</w:t>
      </w:r>
      <w:r w:rsidRPr="00A47525">
        <w:rPr>
          <w:sz w:val="22"/>
          <w:szCs w:val="22"/>
        </w:rPr>
        <w:t xml:space="preserve">. In </w:t>
      </w:r>
      <w:r w:rsidR="0072179E">
        <w:rPr>
          <w:sz w:val="22"/>
          <w:szCs w:val="22"/>
        </w:rPr>
        <w:t>psychology</w:t>
      </w:r>
      <w:r w:rsidR="0072179E" w:rsidRPr="00A47525">
        <w:rPr>
          <w:sz w:val="22"/>
          <w:szCs w:val="22"/>
        </w:rPr>
        <w:t xml:space="preserve"> </w:t>
      </w:r>
      <w:r w:rsidRPr="00A47525">
        <w:rPr>
          <w:sz w:val="22"/>
          <w:szCs w:val="22"/>
        </w:rPr>
        <w:t xml:space="preserve">research, </w:t>
      </w:r>
      <w:r w:rsidR="00144B90" w:rsidRPr="00A47525">
        <w:rPr>
          <w:sz w:val="22"/>
          <w:szCs w:val="22"/>
        </w:rPr>
        <w:t>place attachment</w:t>
      </w:r>
      <w:r w:rsidRPr="00A47525">
        <w:rPr>
          <w:sz w:val="22"/>
          <w:szCs w:val="22"/>
        </w:rPr>
        <w:t xml:space="preserve"> has been conceptualised as a multidimensional construct encompassing place identity, place dependence, affective attachment, and social bonding</w:t>
      </w:r>
      <w:r w:rsidR="0072179E">
        <w:rPr>
          <w:sz w:val="22"/>
          <w:szCs w:val="22"/>
        </w:rPr>
        <w:t xml:space="preserve"> [9], [10]</w:t>
      </w:r>
      <w:r w:rsidRPr="00A47525">
        <w:rPr>
          <w:sz w:val="22"/>
          <w:szCs w:val="22"/>
        </w:rPr>
        <w:t xml:space="preserve">. However, for reasons of parsimony and measurement reliability, many recent tourism studies operationalise </w:t>
      </w:r>
      <w:r w:rsidR="00144B90" w:rsidRPr="00A47525">
        <w:rPr>
          <w:sz w:val="22"/>
          <w:szCs w:val="22"/>
        </w:rPr>
        <w:t>place attachment</w:t>
      </w:r>
      <w:r w:rsidRPr="00A47525">
        <w:rPr>
          <w:sz w:val="22"/>
          <w:szCs w:val="22"/>
        </w:rPr>
        <w:t xml:space="preserve"> as a unidimensional construct capturing overall emotional connectedness to a destination</w:t>
      </w:r>
      <w:r w:rsidR="00AF6C8B">
        <w:rPr>
          <w:sz w:val="22"/>
          <w:szCs w:val="22"/>
        </w:rPr>
        <w:t xml:space="preserve"> </w:t>
      </w:r>
      <w:r w:rsidR="0072179E">
        <w:rPr>
          <w:sz w:val="22"/>
          <w:szCs w:val="22"/>
        </w:rPr>
        <w:t>[13], [15].</w:t>
      </w:r>
      <w:r w:rsidRPr="00A47525">
        <w:rPr>
          <w:sz w:val="22"/>
          <w:szCs w:val="22"/>
        </w:rPr>
        <w:t xml:space="preserve">In tourism contexts, </w:t>
      </w:r>
      <w:r w:rsidR="00144B90" w:rsidRPr="00A47525">
        <w:rPr>
          <w:sz w:val="22"/>
          <w:szCs w:val="22"/>
        </w:rPr>
        <w:t>place attachment</w:t>
      </w:r>
      <w:r w:rsidRPr="00A47525">
        <w:rPr>
          <w:sz w:val="22"/>
          <w:szCs w:val="22"/>
        </w:rPr>
        <w:t xml:space="preserve"> plays a crucial mediating role between experiences and behavioural outcomes. Empirical studies indicate that memorable and meaningful tourism experiences strengthen </w:t>
      </w:r>
      <w:r w:rsidR="00144B90" w:rsidRPr="00A47525">
        <w:rPr>
          <w:sz w:val="22"/>
          <w:szCs w:val="22"/>
        </w:rPr>
        <w:t>place attachment</w:t>
      </w:r>
      <w:r w:rsidRPr="00A47525">
        <w:rPr>
          <w:sz w:val="22"/>
          <w:szCs w:val="22"/>
        </w:rPr>
        <w:t>, which in turn enhances destination loyalty and revisit intention</w:t>
      </w:r>
      <w:r w:rsidR="0072179E">
        <w:rPr>
          <w:sz w:val="22"/>
          <w:szCs w:val="22"/>
        </w:rPr>
        <w:t xml:space="preserve"> [13]</w:t>
      </w:r>
      <w:r w:rsidRPr="00A47525">
        <w:rPr>
          <w:sz w:val="22"/>
          <w:szCs w:val="22"/>
        </w:rPr>
        <w:t xml:space="preserve">. Importantly, </w:t>
      </w:r>
      <w:r w:rsidR="00144B90" w:rsidRPr="00A47525">
        <w:rPr>
          <w:sz w:val="22"/>
          <w:szCs w:val="22"/>
        </w:rPr>
        <w:t>place attachment</w:t>
      </w:r>
      <w:r w:rsidRPr="00A47525">
        <w:rPr>
          <w:sz w:val="22"/>
          <w:szCs w:val="22"/>
        </w:rPr>
        <w:t xml:space="preserve"> has also been linked to environmentally responsible behaviour, suggesting that tourists who feel emotionally attached to a destination are more likely to act in ways that protect and preserve it</w:t>
      </w:r>
      <w:r w:rsidR="0072179E">
        <w:rPr>
          <w:sz w:val="22"/>
          <w:szCs w:val="22"/>
        </w:rPr>
        <w:t xml:space="preserve"> [14], [15]</w:t>
      </w:r>
      <w:r w:rsidRPr="00A47525">
        <w:rPr>
          <w:sz w:val="22"/>
          <w:szCs w:val="22"/>
        </w:rPr>
        <w:t>. This mechanism is particularly relevant for destinations characterised by fragile ecosystems, such as forest, waterfall, and coastal ecotourism sites in Vietnam, where sustainable visitor behaviour is critical for long-term conservation.</w:t>
      </w:r>
    </w:p>
    <w:p w14:paraId="45C71BBE" w14:textId="48508F4E" w:rsidR="003C22E5" w:rsidRPr="00A47525" w:rsidRDefault="00AF56B0" w:rsidP="00C53934">
      <w:pPr>
        <w:pStyle w:val="Heading2"/>
        <w:jc w:val="both"/>
      </w:pPr>
      <w:r>
        <w:t xml:space="preserve">2.3. </w:t>
      </w:r>
      <w:r w:rsidR="003C22E5" w:rsidRPr="00A47525">
        <w:t>Green</w:t>
      </w:r>
      <w:r w:rsidR="00F53470">
        <w:t xml:space="preserve"> B</w:t>
      </w:r>
      <w:r w:rsidR="00F53470" w:rsidRPr="00A47525">
        <w:t>ehavioural</w:t>
      </w:r>
      <w:r w:rsidR="003C22E5" w:rsidRPr="00A47525">
        <w:t xml:space="preserve"> Intentions</w:t>
      </w:r>
    </w:p>
    <w:p w14:paraId="3CEE6847" w14:textId="5DFEB25B"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 xml:space="preserve">Green </w:t>
      </w:r>
      <w:r w:rsidR="00F53470" w:rsidRPr="00A47525">
        <w:rPr>
          <w:sz w:val="22"/>
          <w:szCs w:val="22"/>
        </w:rPr>
        <w:t xml:space="preserve">behavioural </w:t>
      </w:r>
      <w:r w:rsidRPr="00A47525">
        <w:rPr>
          <w:sz w:val="22"/>
          <w:szCs w:val="22"/>
        </w:rPr>
        <w:t>intentions (G</w:t>
      </w:r>
      <w:r w:rsidR="005F5CA9" w:rsidRPr="00A47525">
        <w:rPr>
          <w:sz w:val="22"/>
          <w:szCs w:val="22"/>
        </w:rPr>
        <w:t>B</w:t>
      </w:r>
      <w:r w:rsidRPr="00A47525">
        <w:rPr>
          <w:sz w:val="22"/>
          <w:szCs w:val="22"/>
        </w:rPr>
        <w:t>I) refer to tourists’ intentions to engage in environmentally responsible behaviours, such as reducing waste, conserving natural resources, and supporting eco-friendly tourism services</w:t>
      </w:r>
      <w:r w:rsidR="0072179E">
        <w:rPr>
          <w:sz w:val="22"/>
          <w:szCs w:val="22"/>
        </w:rPr>
        <w:t xml:space="preserve"> [16], [17]</w:t>
      </w:r>
      <w:r w:rsidR="00EB6639">
        <w:rPr>
          <w:sz w:val="22"/>
          <w:szCs w:val="22"/>
        </w:rPr>
        <w:t>.</w:t>
      </w:r>
      <w:r w:rsidRPr="00A47525">
        <w:rPr>
          <w:sz w:val="22"/>
          <w:szCs w:val="22"/>
        </w:rPr>
        <w:t xml:space="preserve"> Theoretical explanations of </w:t>
      </w:r>
      <w:r w:rsidR="0072179E">
        <w:rPr>
          <w:sz w:val="22"/>
          <w:szCs w:val="22"/>
        </w:rPr>
        <w:t xml:space="preserve">GBI </w:t>
      </w:r>
      <w:r w:rsidRPr="00A47525">
        <w:rPr>
          <w:sz w:val="22"/>
          <w:szCs w:val="22"/>
        </w:rPr>
        <w:t xml:space="preserve"> are commonly grounded in the Theory of Planned Behavior</w:t>
      </w:r>
      <w:r w:rsidR="00F53470">
        <w:rPr>
          <w:sz w:val="22"/>
          <w:szCs w:val="22"/>
        </w:rPr>
        <w:t xml:space="preserve"> (TPB)</w:t>
      </w:r>
      <w:r w:rsidRPr="00A47525">
        <w:rPr>
          <w:sz w:val="22"/>
          <w:szCs w:val="22"/>
        </w:rPr>
        <w:t>, which posits that attitudes, perceived behavioural control, and subjective norms shape behavioural intentions</w:t>
      </w:r>
      <w:r w:rsidR="0072179E">
        <w:rPr>
          <w:sz w:val="22"/>
          <w:szCs w:val="22"/>
        </w:rPr>
        <w:t xml:space="preserve"> [18]</w:t>
      </w:r>
      <w:r w:rsidRPr="00A47525">
        <w:rPr>
          <w:sz w:val="22"/>
          <w:szCs w:val="22"/>
        </w:rPr>
        <w:t>, and the Value–Belief–Norm (VBN) theory, which emphasises the role of values and moral obligations in motivating pro-environmental action</w:t>
      </w:r>
      <w:r w:rsidR="0072179E">
        <w:rPr>
          <w:sz w:val="22"/>
          <w:szCs w:val="22"/>
        </w:rPr>
        <w:t xml:space="preserve"> [18]–[21]</w:t>
      </w:r>
      <w:r w:rsidRPr="00A47525">
        <w:rPr>
          <w:sz w:val="22"/>
          <w:szCs w:val="22"/>
        </w:rPr>
        <w:t>.</w:t>
      </w:r>
      <w:r w:rsidR="00EB6639">
        <w:rPr>
          <w:sz w:val="22"/>
          <w:szCs w:val="22"/>
        </w:rPr>
        <w:t xml:space="preserve"> </w:t>
      </w:r>
      <w:r w:rsidRPr="00A47525">
        <w:rPr>
          <w:sz w:val="22"/>
          <w:szCs w:val="22"/>
        </w:rPr>
        <w:t xml:space="preserve">Empirical research provides strong support for the link between </w:t>
      </w:r>
      <w:r w:rsidR="005F5CA9" w:rsidRPr="00A47525">
        <w:rPr>
          <w:sz w:val="22"/>
          <w:szCs w:val="22"/>
        </w:rPr>
        <w:t>place attachment</w:t>
      </w:r>
      <w:r w:rsidRPr="00A47525">
        <w:rPr>
          <w:sz w:val="22"/>
          <w:szCs w:val="22"/>
        </w:rPr>
        <w:t xml:space="preserve"> and </w:t>
      </w:r>
      <w:r w:rsidR="0072179E">
        <w:rPr>
          <w:sz w:val="22"/>
          <w:szCs w:val="22"/>
        </w:rPr>
        <w:t>GBI</w:t>
      </w:r>
      <w:r w:rsidRPr="00A47525">
        <w:rPr>
          <w:sz w:val="22"/>
          <w:szCs w:val="22"/>
        </w:rPr>
        <w:t>. In heritage tourism contexts, stronger place attachment has been shown to predict higher levels of environmentally responsible behaviour</w:t>
      </w:r>
      <w:r w:rsidR="0072179E">
        <w:rPr>
          <w:sz w:val="22"/>
          <w:szCs w:val="22"/>
        </w:rPr>
        <w:t xml:space="preserve"> [14], [19]</w:t>
      </w:r>
      <w:r w:rsidR="00EB6639">
        <w:rPr>
          <w:sz w:val="22"/>
          <w:szCs w:val="22"/>
        </w:rPr>
        <w:t>.</w:t>
      </w:r>
      <w:r w:rsidRPr="00A47525">
        <w:rPr>
          <w:sz w:val="22"/>
          <w:szCs w:val="22"/>
        </w:rPr>
        <w:t xml:space="preserve"> In nature-based </w:t>
      </w:r>
      <w:r w:rsidR="0072179E">
        <w:rPr>
          <w:sz w:val="22"/>
          <w:szCs w:val="22"/>
        </w:rPr>
        <w:t>literature</w:t>
      </w:r>
      <w:r w:rsidRPr="00A47525">
        <w:rPr>
          <w:sz w:val="22"/>
          <w:szCs w:val="22"/>
        </w:rPr>
        <w:t xml:space="preserve">, studies demonstrate that MTE enhances </w:t>
      </w:r>
      <w:r w:rsidR="0078297E">
        <w:rPr>
          <w:sz w:val="22"/>
          <w:szCs w:val="22"/>
        </w:rPr>
        <w:t>destination bonds</w:t>
      </w:r>
      <w:r w:rsidRPr="00A47525">
        <w:rPr>
          <w:sz w:val="22"/>
          <w:szCs w:val="22"/>
        </w:rPr>
        <w:t xml:space="preserve">, which subsequently </w:t>
      </w:r>
      <w:r w:rsidR="00EB6639">
        <w:rPr>
          <w:sz w:val="22"/>
          <w:szCs w:val="22"/>
        </w:rPr>
        <w:t>lead</w:t>
      </w:r>
      <w:r w:rsidRPr="00A47525">
        <w:rPr>
          <w:sz w:val="22"/>
          <w:szCs w:val="22"/>
        </w:rPr>
        <w:t xml:space="preserve"> to stronger</w:t>
      </w:r>
      <w:r w:rsidR="0078297E">
        <w:rPr>
          <w:sz w:val="22"/>
          <w:szCs w:val="22"/>
        </w:rPr>
        <w:t xml:space="preserve"> pro-environmental behaviour intentions [7], [16], [17]</w:t>
      </w:r>
      <w:r w:rsidRPr="00A47525">
        <w:rPr>
          <w:sz w:val="22"/>
          <w:szCs w:val="22"/>
        </w:rPr>
        <w:t>. These findings are consistent with place stewardship theory, which argues that emotional bonds with places generate a sense of moral responsibility and protective behaviour</w:t>
      </w:r>
      <w:r w:rsidR="0078297E">
        <w:rPr>
          <w:sz w:val="22"/>
          <w:szCs w:val="22"/>
        </w:rPr>
        <w:t xml:space="preserve"> [15]–[18]</w:t>
      </w:r>
      <w:r w:rsidRPr="00A47525">
        <w:rPr>
          <w:sz w:val="22"/>
          <w:szCs w:val="22"/>
        </w:rPr>
        <w:t xml:space="preserve">Despite robust international evidence, empirical research on the </w:t>
      </w:r>
      <w:r w:rsidR="005F5CA9" w:rsidRPr="00A47525">
        <w:rPr>
          <w:sz w:val="22"/>
          <w:szCs w:val="22"/>
        </w:rPr>
        <w:t xml:space="preserve">structural relationship </w:t>
      </w:r>
      <w:r w:rsidR="00F53470">
        <w:rPr>
          <w:sz w:val="22"/>
          <w:szCs w:val="22"/>
        </w:rPr>
        <w:t>among</w:t>
      </w:r>
      <w:r w:rsidR="005F5CA9" w:rsidRPr="00A47525">
        <w:rPr>
          <w:sz w:val="22"/>
          <w:szCs w:val="22"/>
        </w:rPr>
        <w:t xml:space="preserve"> </w:t>
      </w:r>
      <w:r w:rsidR="00F53470">
        <w:rPr>
          <w:sz w:val="22"/>
          <w:szCs w:val="22"/>
        </w:rPr>
        <w:t>MTE</w:t>
      </w:r>
      <w:r w:rsidR="005F5CA9" w:rsidRPr="00A47525">
        <w:rPr>
          <w:sz w:val="22"/>
          <w:szCs w:val="22"/>
        </w:rPr>
        <w:t xml:space="preserve"> on place attachment and</w:t>
      </w:r>
      <w:r w:rsidR="00F53470">
        <w:rPr>
          <w:sz w:val="22"/>
          <w:szCs w:val="22"/>
        </w:rPr>
        <w:t xml:space="preserve"> GBI</w:t>
      </w:r>
      <w:r w:rsidRPr="00A47525">
        <w:rPr>
          <w:sz w:val="22"/>
          <w:szCs w:val="22"/>
        </w:rPr>
        <w:t xml:space="preserve"> relationship in Vietnam remains limited. As domestic tourists, particularly younger generations, increasingly participate in ecotourism and forest–sea-based tourism activities, examining this relationship in destinations such as Gia Lai is both timely and necessary to address theoretical gaps and inform sustainable tourism policy.</w:t>
      </w:r>
    </w:p>
    <w:p w14:paraId="44CCA271" w14:textId="0D7E7EC7" w:rsidR="00F82B53" w:rsidRPr="00A47525" w:rsidRDefault="00AF56B0" w:rsidP="00C53934">
      <w:pPr>
        <w:pStyle w:val="Heading2"/>
        <w:jc w:val="both"/>
      </w:pPr>
      <w:r>
        <w:t xml:space="preserve">2.4. </w:t>
      </w:r>
      <w:r w:rsidR="00F82B53" w:rsidRPr="00A47525">
        <w:t>Stimulus–Organism–Response (S–O–R) Theoretical Foundation</w:t>
      </w:r>
    </w:p>
    <w:p w14:paraId="24A87975" w14:textId="21665B84" w:rsidR="00F82B53" w:rsidRPr="00A47525" w:rsidRDefault="00F82B53" w:rsidP="00C53934">
      <w:pPr>
        <w:spacing w:before="120" w:after="120" w:line="240" w:lineRule="auto"/>
        <w:ind w:firstLine="720"/>
        <w:jc w:val="both"/>
        <w:rPr>
          <w:rFonts w:cs="Times New Roman"/>
          <w:sz w:val="22"/>
        </w:rPr>
      </w:pPr>
      <w:r w:rsidRPr="00A47525">
        <w:rPr>
          <w:rFonts w:cs="Times New Roman"/>
          <w:sz w:val="22"/>
        </w:rPr>
        <w:t>The stimulus–organism–response (S–O–R) framework provides a robust theoretical lens for explaining how environmental cues influence individuals’ internal psychological states and subsequent behavioural responses. Originally proposed in environmental psychology, the S–O–R model posits that external stimuli (S) affect individuals’ cognitive and affective evaluations (O), which in turn shape behavioural outcomes (R)</w:t>
      </w:r>
      <w:r w:rsidR="0078297E">
        <w:rPr>
          <w:rFonts w:cs="Times New Roman"/>
          <w:sz w:val="22"/>
        </w:rPr>
        <w:t xml:space="preserve"> [22]</w:t>
      </w:r>
      <w:r w:rsidRPr="00A47525">
        <w:rPr>
          <w:rFonts w:cs="Times New Roman"/>
          <w:sz w:val="22"/>
        </w:rPr>
        <w:t>. This framework has been widely adopted in tourism research to explain how experiential encounters translate into tourists’ post-consumption attitudes and behaviours</w:t>
      </w:r>
      <w:r w:rsidR="002D46AE">
        <w:rPr>
          <w:rFonts w:cs="Times New Roman"/>
          <w:sz w:val="22"/>
        </w:rPr>
        <w:t xml:space="preserve"> [1], [6]</w:t>
      </w:r>
      <w:r w:rsidR="000B3E38">
        <w:rPr>
          <w:rFonts w:cs="Times New Roman"/>
          <w:sz w:val="22"/>
        </w:rPr>
        <w:t xml:space="preserve">. </w:t>
      </w:r>
      <w:r w:rsidRPr="00A47525">
        <w:rPr>
          <w:rFonts w:cs="Times New Roman"/>
          <w:sz w:val="22"/>
        </w:rPr>
        <w:t>In tourism contexts, destination experiences are commonly conceptualised as salient stimuli that trigger tourists’ internal evaluations</w:t>
      </w:r>
      <w:r w:rsidR="002D46AE">
        <w:rPr>
          <w:rFonts w:cs="Times New Roman"/>
          <w:sz w:val="22"/>
        </w:rPr>
        <w:t>.</w:t>
      </w:r>
      <w:r w:rsidRPr="00A47525">
        <w:rPr>
          <w:rFonts w:cs="Times New Roman"/>
          <w:sz w:val="22"/>
        </w:rPr>
        <w:t>MTE characterised by emotionally and cognitively rich encounters, represent powerful environmental stimuli capable of shaping tourists’ psychological responses. Prior research has shown that memorable and meaningful tourism experiences can significantly influence tourists’ affective evaluations and destination-related perceptions</w:t>
      </w:r>
      <w:r w:rsidR="002D46AE">
        <w:rPr>
          <w:rFonts w:cs="Times New Roman"/>
          <w:sz w:val="22"/>
        </w:rPr>
        <w:t xml:space="preserve"> [1], [7]</w:t>
      </w:r>
      <w:r w:rsidR="000B3E38">
        <w:rPr>
          <w:rFonts w:cs="Times New Roman"/>
          <w:sz w:val="22"/>
        </w:rPr>
        <w:t xml:space="preserve">. </w:t>
      </w:r>
      <w:r w:rsidRPr="000B3E38">
        <w:rPr>
          <w:rFonts w:cs="Times New Roman"/>
          <w:sz w:val="22"/>
        </w:rPr>
        <w:t>However</w:t>
      </w:r>
      <w:r w:rsidRPr="00A47525">
        <w:rPr>
          <w:rFonts w:cs="Times New Roman"/>
          <w:sz w:val="22"/>
        </w:rPr>
        <w:t>, the mechanisms through which multidimensional MTE foster sustainability-oriented behavioural intentions remain underexplored.</w:t>
      </w:r>
    </w:p>
    <w:p w14:paraId="7BE9257E" w14:textId="3BD44085" w:rsidR="00F82B53" w:rsidRPr="00A47525" w:rsidRDefault="00F82B53" w:rsidP="00C53934">
      <w:pPr>
        <w:pStyle w:val="NormalWeb"/>
        <w:spacing w:before="120" w:beforeAutospacing="0" w:after="120" w:afterAutospacing="0"/>
        <w:ind w:firstLine="720"/>
        <w:jc w:val="both"/>
        <w:rPr>
          <w:sz w:val="22"/>
          <w:szCs w:val="22"/>
        </w:rPr>
      </w:pPr>
      <w:r w:rsidRPr="00A47525">
        <w:rPr>
          <w:sz w:val="22"/>
          <w:szCs w:val="22"/>
        </w:rPr>
        <w:t xml:space="preserve">Within the S–O–R </w:t>
      </w:r>
      <w:r w:rsidR="002D46AE">
        <w:rPr>
          <w:sz w:val="22"/>
          <w:szCs w:val="22"/>
        </w:rPr>
        <w:t>framework</w:t>
      </w:r>
      <w:r w:rsidRPr="00A47525">
        <w:rPr>
          <w:sz w:val="22"/>
          <w:szCs w:val="22"/>
        </w:rPr>
        <w:t>,</w:t>
      </w:r>
      <w:r w:rsidR="000B3E38">
        <w:rPr>
          <w:sz w:val="22"/>
          <w:szCs w:val="22"/>
        </w:rPr>
        <w:t xml:space="preserve"> place attachment </w:t>
      </w:r>
      <w:r w:rsidRPr="00A47525">
        <w:rPr>
          <w:sz w:val="22"/>
          <w:szCs w:val="22"/>
        </w:rPr>
        <w:t xml:space="preserve">represents the organismic state reflecting tourists’ emotional and functional bonds with a destination. As a multidimensional construct encompassing affective connection and place-based meaning, place attachment serves as a critical psychological bridge between tourism experiences and behavioural outcomes. Previous studies have consistently demonstrated that tourists who develop </w:t>
      </w:r>
      <w:r w:rsidR="000B3E38">
        <w:rPr>
          <w:sz w:val="22"/>
          <w:szCs w:val="22"/>
        </w:rPr>
        <w:t xml:space="preserve">a </w:t>
      </w:r>
      <w:r w:rsidRPr="00A47525">
        <w:rPr>
          <w:sz w:val="22"/>
          <w:szCs w:val="22"/>
        </w:rPr>
        <w:t>strong attachment to a destination are more likely to engage in supportive and environmentally responsible behaviours</w:t>
      </w:r>
      <w:r w:rsidR="002D46AE">
        <w:rPr>
          <w:sz w:val="22"/>
          <w:szCs w:val="22"/>
        </w:rPr>
        <w:t xml:space="preserve"> [36], [37]</w:t>
      </w:r>
      <w:r w:rsidR="00025D68">
        <w:rPr>
          <w:sz w:val="22"/>
          <w:szCs w:val="22"/>
        </w:rPr>
        <w:t xml:space="preserve">. </w:t>
      </w:r>
      <w:r w:rsidRPr="00A47525">
        <w:rPr>
          <w:sz w:val="22"/>
          <w:szCs w:val="22"/>
        </w:rPr>
        <w:t>Building on this theoretical reasoning,</w:t>
      </w:r>
      <w:r w:rsidR="00025D68">
        <w:rPr>
          <w:sz w:val="22"/>
          <w:szCs w:val="22"/>
        </w:rPr>
        <w:t xml:space="preserve"> green intentions constitute</w:t>
      </w:r>
      <w:r w:rsidRPr="00A47525">
        <w:rPr>
          <w:sz w:val="22"/>
          <w:szCs w:val="22"/>
        </w:rPr>
        <w:t xml:space="preserve"> the response component of the framework. As a sustainability-oriented behavioural outcome, </w:t>
      </w:r>
      <w:r w:rsidR="002D46AE">
        <w:rPr>
          <w:sz w:val="22"/>
          <w:szCs w:val="22"/>
        </w:rPr>
        <w:t>GBI</w:t>
      </w:r>
      <w:r w:rsidRPr="00A47525">
        <w:rPr>
          <w:sz w:val="22"/>
          <w:szCs w:val="22"/>
        </w:rPr>
        <w:t xml:space="preserve"> reflects tourists’ willingness to engage in environmentally responsible actions during or after their visit. Integrating the S–O–R perspective with place-based tourism research</w:t>
      </w:r>
      <w:r w:rsidR="00025D68">
        <w:rPr>
          <w:sz w:val="22"/>
          <w:szCs w:val="22"/>
        </w:rPr>
        <w:t>,</w:t>
      </w:r>
      <w:r w:rsidRPr="00A47525">
        <w:rPr>
          <w:sz w:val="22"/>
          <w:szCs w:val="22"/>
        </w:rPr>
        <w:t xml:space="preserve"> therefore</w:t>
      </w:r>
      <w:r w:rsidR="00025D68">
        <w:rPr>
          <w:sz w:val="22"/>
          <w:szCs w:val="22"/>
        </w:rPr>
        <w:t>,</w:t>
      </w:r>
      <w:r w:rsidRPr="00A47525">
        <w:rPr>
          <w:sz w:val="22"/>
          <w:szCs w:val="22"/>
        </w:rPr>
        <w:t xml:space="preserve"> provides a coherent explanatory mechanism linking experiential consumption with pro-environmental behavioural tendencies.</w:t>
      </w:r>
      <w:r w:rsidR="00025D68">
        <w:rPr>
          <w:sz w:val="22"/>
          <w:szCs w:val="22"/>
        </w:rPr>
        <w:t xml:space="preserve"> </w:t>
      </w:r>
      <w:r w:rsidRPr="00A47525">
        <w:rPr>
          <w:sz w:val="22"/>
          <w:szCs w:val="22"/>
        </w:rPr>
        <w:t>Accordingly, this study adopts the S–O–R framework to conceptualise</w:t>
      </w:r>
      <w:r w:rsidR="00F53470">
        <w:rPr>
          <w:sz w:val="22"/>
          <w:szCs w:val="22"/>
        </w:rPr>
        <w:t xml:space="preserve"> MTE</w:t>
      </w:r>
      <w:r w:rsidRPr="00A47525">
        <w:rPr>
          <w:sz w:val="22"/>
          <w:szCs w:val="22"/>
        </w:rPr>
        <w:t xml:space="preserve"> as stimuli, place attachment as the organismic state, and </w:t>
      </w:r>
      <w:r w:rsidR="00F53470">
        <w:rPr>
          <w:sz w:val="22"/>
          <w:szCs w:val="22"/>
        </w:rPr>
        <w:t>GBI</w:t>
      </w:r>
      <w:r w:rsidRPr="00A47525">
        <w:rPr>
          <w:sz w:val="22"/>
          <w:szCs w:val="22"/>
        </w:rPr>
        <w:t xml:space="preserve"> as the behavioural response. This theoretical positioning offers a systematic explanation of how specific experiential dimensions translate into sustainability-oriented behavioural intentions, particularly within emerging multi-ecosystem destinations such as Gia Lai.</w:t>
      </w:r>
    </w:p>
    <w:p w14:paraId="7E350BFE" w14:textId="77777777" w:rsidR="00F82B53" w:rsidRPr="00A47525" w:rsidRDefault="00F82B53" w:rsidP="00C53934">
      <w:pPr>
        <w:spacing w:before="120" w:after="120" w:line="240" w:lineRule="auto"/>
        <w:ind w:firstLine="720"/>
        <w:jc w:val="both"/>
        <w:rPr>
          <w:rFonts w:cs="Times New Roman"/>
          <w:sz w:val="22"/>
        </w:rPr>
      </w:pPr>
    </w:p>
    <w:p w14:paraId="21234939" w14:textId="42867107" w:rsidR="003C22E5" w:rsidRPr="00A47525" w:rsidRDefault="00AF56B0" w:rsidP="00C53934">
      <w:pPr>
        <w:pStyle w:val="Heading2"/>
        <w:jc w:val="both"/>
      </w:pPr>
      <w:r>
        <w:t xml:space="preserve">2.5. </w:t>
      </w:r>
      <w:r w:rsidR="003C22E5" w:rsidRPr="00A47525">
        <w:t>Hypotheses Development</w:t>
      </w:r>
    </w:p>
    <w:p w14:paraId="61BCC74D" w14:textId="103DC6D3" w:rsidR="003C22E5" w:rsidRPr="00AF56B0" w:rsidRDefault="00AF56B0" w:rsidP="00C53934">
      <w:pPr>
        <w:pStyle w:val="Heading3"/>
        <w:jc w:val="both"/>
      </w:pPr>
      <w:r w:rsidRPr="00AF56B0">
        <w:t xml:space="preserve">2.5.1. </w:t>
      </w:r>
      <w:r w:rsidR="003C22E5" w:rsidRPr="00AF56B0">
        <w:t>MTE Dimensions and Place Attachment</w:t>
      </w:r>
    </w:p>
    <w:p w14:paraId="2B553FC4" w14:textId="6A7864EC" w:rsidR="003C22E5" w:rsidRPr="00A47525" w:rsidRDefault="002D46AE" w:rsidP="00C53934">
      <w:pPr>
        <w:pStyle w:val="NormalWeb"/>
        <w:spacing w:before="120" w:beforeAutospacing="0" w:after="120" w:afterAutospacing="0"/>
        <w:ind w:firstLine="720"/>
        <w:jc w:val="both"/>
        <w:rPr>
          <w:sz w:val="22"/>
          <w:szCs w:val="22"/>
        </w:rPr>
      </w:pPr>
      <w:r>
        <w:rPr>
          <w:sz w:val="22"/>
          <w:szCs w:val="22"/>
        </w:rPr>
        <w:t>MTE</w:t>
      </w:r>
      <w:r w:rsidR="003C22E5" w:rsidRPr="00A47525">
        <w:rPr>
          <w:sz w:val="22"/>
          <w:szCs w:val="22"/>
        </w:rPr>
        <w:t xml:space="preserve"> are conceptualised as a multidimensional construct comprising novelty, hedonism, meaningfulness, local culture, involvement, knowledge, and refreshment</w:t>
      </w:r>
      <w:r>
        <w:rPr>
          <w:sz w:val="22"/>
          <w:szCs w:val="22"/>
        </w:rPr>
        <w:t xml:space="preserve"> [2], [3]</w:t>
      </w:r>
      <w:r w:rsidR="003C22E5" w:rsidRPr="00A47525">
        <w:rPr>
          <w:sz w:val="22"/>
          <w:szCs w:val="22"/>
        </w:rPr>
        <w:t>. Each dimension represents a distinct experiential stimulus that may contribute differently to the formation of place attachment. Drawing on the experience economy framework</w:t>
      </w:r>
      <w:r>
        <w:rPr>
          <w:sz w:val="22"/>
          <w:szCs w:val="22"/>
        </w:rPr>
        <w:t xml:space="preserve"> [23]</w:t>
      </w:r>
      <w:r w:rsidR="003C22E5" w:rsidRPr="00A47525">
        <w:rPr>
          <w:sz w:val="22"/>
          <w:szCs w:val="22"/>
        </w:rPr>
        <w:t xml:space="preserve"> and the </w:t>
      </w:r>
      <w:r w:rsidR="00F53470">
        <w:rPr>
          <w:sz w:val="22"/>
          <w:szCs w:val="22"/>
        </w:rPr>
        <w:t>S-O-R</w:t>
      </w:r>
      <w:r w:rsidR="003C22E5" w:rsidRPr="00A47525">
        <w:rPr>
          <w:sz w:val="22"/>
          <w:szCs w:val="22"/>
        </w:rPr>
        <w:t xml:space="preserve"> </w:t>
      </w:r>
      <w:r>
        <w:rPr>
          <w:sz w:val="22"/>
          <w:szCs w:val="22"/>
        </w:rPr>
        <w:t>framework [24]</w:t>
      </w:r>
      <w:r w:rsidR="003C22E5" w:rsidRPr="00A47525">
        <w:rPr>
          <w:sz w:val="22"/>
          <w:szCs w:val="22"/>
        </w:rPr>
        <w:t>, tourism experiences act as stimuli that evoke affective and cognitive responses, which subsequently shape emotional bonds with destinations.Novel experiences provide stimulation, surprise, and distinctiveness, which intensify tourists’ emotional evaluations and memory formation</w:t>
      </w:r>
      <w:r>
        <w:rPr>
          <w:sz w:val="22"/>
          <w:szCs w:val="22"/>
        </w:rPr>
        <w:t xml:space="preserve"> [2]</w:t>
      </w:r>
      <w:r w:rsidR="003C22E5" w:rsidRPr="00A47525">
        <w:rPr>
          <w:sz w:val="22"/>
          <w:szCs w:val="22"/>
        </w:rPr>
        <w:t>. Novelty-seeking theory suggests that unique and unusual encounters generate stronger affective responses and place-related memories</w:t>
      </w:r>
      <w:r>
        <w:rPr>
          <w:sz w:val="22"/>
          <w:szCs w:val="22"/>
        </w:rPr>
        <w:t xml:space="preserve"> [19]</w:t>
      </w:r>
      <w:r w:rsidR="003C22E5" w:rsidRPr="00A47525">
        <w:rPr>
          <w:sz w:val="22"/>
          <w:szCs w:val="22"/>
        </w:rPr>
        <w:t xml:space="preserve">. Empirical studies confirm that novelty contributes to </w:t>
      </w:r>
      <w:r w:rsidR="00F53470">
        <w:rPr>
          <w:sz w:val="22"/>
          <w:szCs w:val="22"/>
        </w:rPr>
        <w:t>MTE</w:t>
      </w:r>
      <w:r w:rsidR="003C22E5" w:rsidRPr="00A47525">
        <w:rPr>
          <w:sz w:val="22"/>
          <w:szCs w:val="22"/>
        </w:rPr>
        <w:t xml:space="preserve"> and enhances well-being and attachment, although its influence may diminish with repeated visits</w:t>
      </w:r>
      <w:r>
        <w:rPr>
          <w:sz w:val="22"/>
          <w:szCs w:val="22"/>
        </w:rPr>
        <w:t xml:space="preserve"> [20]</w:t>
      </w:r>
      <w:r w:rsidR="003C22E5" w:rsidRPr="00A47525">
        <w:rPr>
          <w:sz w:val="22"/>
          <w:szCs w:val="22"/>
        </w:rPr>
        <w:t>.</w:t>
      </w:r>
      <w:r>
        <w:rPr>
          <w:sz w:val="22"/>
          <w:szCs w:val="22"/>
        </w:rPr>
        <w:t xml:space="preserve"> Therefore, this study proposes the following hypothesis:</w:t>
      </w:r>
    </w:p>
    <w:p w14:paraId="007BFEAD" w14:textId="77777777" w:rsidR="003C22E5" w:rsidRPr="00B57D0E" w:rsidRDefault="003C22E5" w:rsidP="00C53934">
      <w:pPr>
        <w:pStyle w:val="NormalWeb"/>
        <w:spacing w:before="120" w:beforeAutospacing="0" w:after="120" w:afterAutospacing="0"/>
        <w:jc w:val="both"/>
        <w:rPr>
          <w:i/>
          <w:sz w:val="22"/>
          <w:szCs w:val="22"/>
        </w:rPr>
      </w:pPr>
      <w:r w:rsidRPr="00B57D0E">
        <w:rPr>
          <w:i/>
          <w:sz w:val="22"/>
          <w:szCs w:val="22"/>
        </w:rPr>
        <w:t>H1. Novelty positively influences place attachment.</w:t>
      </w:r>
    </w:p>
    <w:p w14:paraId="2FE5D65D" w14:textId="161B3BAA"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Hedonism reflects enjoyment, pleasure, and emotional arousal during tourism experiences. From a hedonic well-being perspective, pleasurable experiences enhance positive affect and reinforce emotional bonds with destinations</w:t>
      </w:r>
      <w:r w:rsidR="002D46AE">
        <w:rPr>
          <w:sz w:val="22"/>
          <w:szCs w:val="22"/>
        </w:rPr>
        <w:t xml:space="preserve"> [1], [3], [7], [21]</w:t>
      </w:r>
      <w:r w:rsidRPr="00A47525">
        <w:rPr>
          <w:sz w:val="22"/>
          <w:szCs w:val="22"/>
        </w:rPr>
        <w:t>. Empirical evidence indicates that hedonic enjoyment significantly contributes to place attachment in leisure and tourism settings</w:t>
      </w:r>
      <w:r w:rsidR="002D46AE">
        <w:rPr>
          <w:sz w:val="22"/>
          <w:szCs w:val="22"/>
        </w:rPr>
        <w:t xml:space="preserve"> [8], [14]</w:t>
      </w:r>
      <w:r w:rsidRPr="00A47525">
        <w:rPr>
          <w:sz w:val="22"/>
          <w:szCs w:val="22"/>
        </w:rPr>
        <w:t>, although some studies suggest that its effects may be less enduring than those of meaningful experiences</w:t>
      </w:r>
      <w:r w:rsidR="002D46AE">
        <w:rPr>
          <w:sz w:val="22"/>
          <w:szCs w:val="22"/>
        </w:rPr>
        <w:t xml:space="preserve"> [6]</w:t>
      </w:r>
      <w:r w:rsidRPr="00A47525">
        <w:rPr>
          <w:sz w:val="22"/>
          <w:szCs w:val="22"/>
        </w:rPr>
        <w:t>.</w:t>
      </w:r>
      <w:r w:rsidR="002D46AE">
        <w:rPr>
          <w:sz w:val="22"/>
          <w:szCs w:val="22"/>
        </w:rPr>
        <w:t xml:space="preserve"> Thus, it is proposed that</w:t>
      </w:r>
    </w:p>
    <w:p w14:paraId="1F5D8B60" w14:textId="77777777" w:rsidR="003C22E5" w:rsidRPr="00B57D0E" w:rsidRDefault="003C22E5" w:rsidP="00C53934">
      <w:pPr>
        <w:pStyle w:val="NormalWeb"/>
        <w:spacing w:before="120" w:beforeAutospacing="0" w:after="120" w:afterAutospacing="0"/>
        <w:jc w:val="both"/>
        <w:rPr>
          <w:i/>
          <w:sz w:val="22"/>
          <w:szCs w:val="22"/>
        </w:rPr>
      </w:pPr>
      <w:r w:rsidRPr="00B57D0E">
        <w:rPr>
          <w:i/>
          <w:sz w:val="22"/>
          <w:szCs w:val="22"/>
        </w:rPr>
        <w:t>H</w:t>
      </w:r>
      <w:r w:rsidR="00463F76" w:rsidRPr="00B57D0E">
        <w:rPr>
          <w:i/>
          <w:sz w:val="22"/>
          <w:szCs w:val="22"/>
        </w:rPr>
        <w:t>2</w:t>
      </w:r>
      <w:r w:rsidRPr="00B57D0E">
        <w:rPr>
          <w:i/>
          <w:sz w:val="22"/>
          <w:szCs w:val="22"/>
        </w:rPr>
        <w:t>. Hedonism positively influences place attachment.</w:t>
      </w:r>
    </w:p>
    <w:p w14:paraId="62B89BD5" w14:textId="3D008250"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Meaningful experiences align with tourists’ values and sense of purpose. Self-determination theory suggests that experiences satisfying intrinsic psychological needs foster identity and relatedness, which are central to place attachment</w:t>
      </w:r>
      <w:r w:rsidR="002D46AE">
        <w:rPr>
          <w:sz w:val="22"/>
          <w:szCs w:val="22"/>
        </w:rPr>
        <w:t xml:space="preserve"> [11], [13], [22]</w:t>
      </w:r>
      <w:r w:rsidRPr="00A47525">
        <w:rPr>
          <w:sz w:val="22"/>
          <w:szCs w:val="22"/>
        </w:rPr>
        <w:t>. Empirical studies demonstrate that meaningful tourism experiences generate long-lasting reminiscence and strongly drive attachment, particularly in ecotourism contexts</w:t>
      </w:r>
      <w:r w:rsidR="002D46AE">
        <w:rPr>
          <w:sz w:val="22"/>
          <w:szCs w:val="22"/>
        </w:rPr>
        <w:t xml:space="preserve"> [15], [16], [20]</w:t>
      </w:r>
      <w:r w:rsidRPr="00A47525">
        <w:rPr>
          <w:sz w:val="22"/>
          <w:szCs w:val="22"/>
        </w:rPr>
        <w:t>.</w:t>
      </w:r>
      <w:r w:rsidR="002D46AE">
        <w:rPr>
          <w:sz w:val="22"/>
          <w:szCs w:val="22"/>
        </w:rPr>
        <w:t xml:space="preserve"> Therefore, the following hypothesis is proposed:</w:t>
      </w:r>
    </w:p>
    <w:p w14:paraId="5F3F142E" w14:textId="77777777" w:rsidR="003C22E5" w:rsidRPr="00B57D0E" w:rsidRDefault="003C22E5" w:rsidP="00C53934">
      <w:pPr>
        <w:pStyle w:val="NormalWeb"/>
        <w:spacing w:before="120" w:beforeAutospacing="0" w:after="120" w:afterAutospacing="0"/>
        <w:jc w:val="both"/>
        <w:rPr>
          <w:i/>
          <w:sz w:val="22"/>
          <w:szCs w:val="22"/>
        </w:rPr>
      </w:pPr>
      <w:r w:rsidRPr="00B57D0E">
        <w:rPr>
          <w:i/>
          <w:sz w:val="22"/>
          <w:szCs w:val="22"/>
        </w:rPr>
        <w:t>H</w:t>
      </w:r>
      <w:r w:rsidR="00463F76" w:rsidRPr="00B57D0E">
        <w:rPr>
          <w:i/>
          <w:sz w:val="22"/>
          <w:szCs w:val="22"/>
        </w:rPr>
        <w:t>3</w:t>
      </w:r>
      <w:r w:rsidRPr="00B57D0E">
        <w:rPr>
          <w:i/>
          <w:sz w:val="22"/>
          <w:szCs w:val="22"/>
        </w:rPr>
        <w:t>. Meaningfulness positively influences place attachment.</w:t>
      </w:r>
    </w:p>
    <w:p w14:paraId="11F60A1F" w14:textId="6BBA3479"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Engagement with local culture enhances perceived authenticity and symbolic bonds with destinations. Authenticity theory posits that cultural immersion fosters a sense of belonging and emotional connection</w:t>
      </w:r>
      <w:r w:rsidR="002D46AE">
        <w:rPr>
          <w:sz w:val="22"/>
          <w:szCs w:val="22"/>
        </w:rPr>
        <w:t xml:space="preserve"> </w:t>
      </w:r>
      <w:r w:rsidR="00365CC9">
        <w:rPr>
          <w:sz w:val="22"/>
          <w:szCs w:val="22"/>
        </w:rPr>
        <w:t>[9], [11], [23]</w:t>
      </w:r>
      <w:r w:rsidRPr="00A47525">
        <w:rPr>
          <w:sz w:val="22"/>
          <w:szCs w:val="22"/>
        </w:rPr>
        <w:t>. Empirical findings indicate that cultural experiences contribute to both place attachment and environmentally responsible behaviour in tourism settings</w:t>
      </w:r>
      <w:r w:rsidR="002D46AE">
        <w:rPr>
          <w:sz w:val="22"/>
          <w:szCs w:val="22"/>
        </w:rPr>
        <w:t xml:space="preserve"> [11], [14], [25]</w:t>
      </w:r>
      <w:r w:rsidRPr="00A47525">
        <w:rPr>
          <w:sz w:val="22"/>
          <w:szCs w:val="22"/>
        </w:rPr>
        <w:t>.</w:t>
      </w:r>
      <w:r w:rsidR="00365CC9">
        <w:rPr>
          <w:sz w:val="22"/>
          <w:szCs w:val="22"/>
        </w:rPr>
        <w:t xml:space="preserve"> Therefore, this study proposes the following hypothesis:</w:t>
      </w:r>
    </w:p>
    <w:p w14:paraId="26EEFFD6" w14:textId="77777777" w:rsidR="003C22E5" w:rsidRPr="00B57D0E" w:rsidRDefault="003C22E5" w:rsidP="00C53934">
      <w:pPr>
        <w:pStyle w:val="NormalWeb"/>
        <w:spacing w:before="120" w:beforeAutospacing="0" w:after="120" w:afterAutospacing="0"/>
        <w:jc w:val="both"/>
        <w:rPr>
          <w:i/>
          <w:sz w:val="22"/>
          <w:szCs w:val="22"/>
        </w:rPr>
      </w:pPr>
      <w:r w:rsidRPr="00B57D0E">
        <w:rPr>
          <w:i/>
          <w:sz w:val="22"/>
          <w:szCs w:val="22"/>
        </w:rPr>
        <w:t>H</w:t>
      </w:r>
      <w:r w:rsidR="00463F76" w:rsidRPr="00B57D0E">
        <w:rPr>
          <w:i/>
          <w:sz w:val="22"/>
          <w:szCs w:val="22"/>
        </w:rPr>
        <w:t>4</w:t>
      </w:r>
      <w:r w:rsidRPr="00B57D0E">
        <w:rPr>
          <w:i/>
          <w:sz w:val="22"/>
          <w:szCs w:val="22"/>
        </w:rPr>
        <w:t>. Local culture positively influences place attachment.</w:t>
      </w:r>
    </w:p>
    <w:p w14:paraId="39D96D8A" w14:textId="21EA9BD2"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Active involvement deepens tourists’ sense of co-creation and psychological investment. Co-creation theory</w:t>
      </w:r>
      <w:r w:rsidR="00365CC9">
        <w:rPr>
          <w:sz w:val="22"/>
          <w:szCs w:val="22"/>
        </w:rPr>
        <w:t xml:space="preserve"> [26], [27]</w:t>
      </w:r>
      <w:r w:rsidRPr="00A47525">
        <w:rPr>
          <w:sz w:val="22"/>
          <w:szCs w:val="22"/>
        </w:rPr>
        <w:t xml:space="preserve"> suggests that participatory experiences enhance feelings of ownership and emotional attachment to destinations. Empirical studies show that tourists engaged in interactive and hands-on activities report stronger place attachment, although limited involvement opportunities may weaken this effect in mass tourism contexts</w:t>
      </w:r>
      <w:r w:rsidR="00365CC9">
        <w:rPr>
          <w:sz w:val="22"/>
          <w:szCs w:val="22"/>
        </w:rPr>
        <w:t xml:space="preserve"> [10], [15], [20]</w:t>
      </w:r>
      <w:r w:rsidRPr="00A47525">
        <w:rPr>
          <w:sz w:val="22"/>
          <w:szCs w:val="22"/>
        </w:rPr>
        <w:t>.</w:t>
      </w:r>
      <w:r w:rsidR="00365CC9">
        <w:rPr>
          <w:sz w:val="22"/>
          <w:szCs w:val="22"/>
        </w:rPr>
        <w:t xml:space="preserve"> Therefore, this study proposes the following hypothesis:</w:t>
      </w:r>
    </w:p>
    <w:p w14:paraId="654C14D5" w14:textId="77777777" w:rsidR="003C22E5" w:rsidRPr="00B57D0E" w:rsidRDefault="003C22E5" w:rsidP="00C53934">
      <w:pPr>
        <w:pStyle w:val="NormalWeb"/>
        <w:spacing w:before="120" w:beforeAutospacing="0" w:after="120" w:afterAutospacing="0"/>
        <w:jc w:val="both"/>
        <w:rPr>
          <w:i/>
          <w:sz w:val="22"/>
          <w:szCs w:val="22"/>
        </w:rPr>
      </w:pPr>
      <w:r w:rsidRPr="00B57D0E">
        <w:rPr>
          <w:i/>
          <w:sz w:val="22"/>
          <w:szCs w:val="22"/>
        </w:rPr>
        <w:t>H</w:t>
      </w:r>
      <w:r w:rsidR="00463F76" w:rsidRPr="00B57D0E">
        <w:rPr>
          <w:i/>
          <w:sz w:val="22"/>
          <w:szCs w:val="22"/>
        </w:rPr>
        <w:t>5</w:t>
      </w:r>
      <w:r w:rsidRPr="00B57D0E">
        <w:rPr>
          <w:i/>
          <w:sz w:val="22"/>
          <w:szCs w:val="22"/>
        </w:rPr>
        <w:t>. Involvement positively influences place attachment.</w:t>
      </w:r>
    </w:p>
    <w:p w14:paraId="32C81715" w14:textId="436ACFCE"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 xml:space="preserve">Knowledge acquisition through interpretation and learning enhances cognitive appreciation of destinations. Environmental learning theory posits that learning fosters </w:t>
      </w:r>
      <w:r w:rsidR="00463F76" w:rsidRPr="00A47525">
        <w:rPr>
          <w:sz w:val="22"/>
          <w:szCs w:val="22"/>
        </w:rPr>
        <w:t xml:space="preserve">a </w:t>
      </w:r>
      <w:r w:rsidRPr="00A47525">
        <w:rPr>
          <w:sz w:val="22"/>
          <w:szCs w:val="22"/>
        </w:rPr>
        <w:t>sense of place and stewardship intentions</w:t>
      </w:r>
      <w:r w:rsidR="00365CC9">
        <w:rPr>
          <w:sz w:val="22"/>
          <w:szCs w:val="22"/>
        </w:rPr>
        <w:t xml:space="preserve"> [29]</w:t>
      </w:r>
      <w:r w:rsidRPr="00A47525">
        <w:rPr>
          <w:sz w:val="22"/>
          <w:szCs w:val="22"/>
        </w:rPr>
        <w:t>. Empirical evidence suggests that interpretive knowledge strengthens place attachment and supports pro-environmental behaviour</w:t>
      </w:r>
      <w:r w:rsidR="00365CC9">
        <w:rPr>
          <w:sz w:val="22"/>
          <w:szCs w:val="22"/>
        </w:rPr>
        <w:t xml:space="preserve"> [11], [14], [15]</w:t>
      </w:r>
      <w:r w:rsidRPr="00A47525">
        <w:rPr>
          <w:sz w:val="22"/>
          <w:szCs w:val="22"/>
        </w:rPr>
        <w:t>.</w:t>
      </w:r>
      <w:r w:rsidR="00365CC9">
        <w:rPr>
          <w:sz w:val="22"/>
          <w:szCs w:val="22"/>
        </w:rPr>
        <w:t xml:space="preserve"> Therefore, the following hypothesis is proposed:</w:t>
      </w:r>
    </w:p>
    <w:p w14:paraId="412A4317" w14:textId="77777777" w:rsidR="003C22E5" w:rsidRPr="00B57D0E" w:rsidRDefault="003C22E5" w:rsidP="00C53934">
      <w:pPr>
        <w:pStyle w:val="NormalWeb"/>
        <w:spacing w:before="120" w:beforeAutospacing="0" w:after="120" w:afterAutospacing="0"/>
        <w:jc w:val="both"/>
        <w:rPr>
          <w:i/>
          <w:sz w:val="22"/>
          <w:szCs w:val="22"/>
        </w:rPr>
      </w:pPr>
      <w:r w:rsidRPr="00B57D0E">
        <w:rPr>
          <w:i/>
          <w:sz w:val="22"/>
          <w:szCs w:val="22"/>
        </w:rPr>
        <w:t>H</w:t>
      </w:r>
      <w:r w:rsidR="00463F76" w:rsidRPr="00B57D0E">
        <w:rPr>
          <w:i/>
          <w:sz w:val="22"/>
          <w:szCs w:val="22"/>
        </w:rPr>
        <w:t>6</w:t>
      </w:r>
      <w:r w:rsidRPr="00B57D0E">
        <w:rPr>
          <w:i/>
          <w:sz w:val="22"/>
          <w:szCs w:val="22"/>
        </w:rPr>
        <w:t>. Knowledge positively influences place attachment.</w:t>
      </w:r>
    </w:p>
    <w:p w14:paraId="0D5CA79E" w14:textId="677D09BA"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Refreshment refers to the restorative qualities of tourism experiences, such as relaxation and escape. Attention Restoration Theory</w:t>
      </w:r>
      <w:r w:rsidR="00365CC9">
        <w:rPr>
          <w:sz w:val="22"/>
          <w:szCs w:val="22"/>
        </w:rPr>
        <w:t xml:space="preserve"> [30]</w:t>
      </w:r>
      <w:r w:rsidRPr="00A47525">
        <w:rPr>
          <w:sz w:val="22"/>
          <w:szCs w:val="22"/>
        </w:rPr>
        <w:t xml:space="preserve"> explains that restorative environments strengthen emotional bonds with places</w:t>
      </w:r>
      <w:r w:rsidR="00365CC9">
        <w:rPr>
          <w:sz w:val="22"/>
          <w:szCs w:val="22"/>
        </w:rPr>
        <w:t xml:space="preserve"> [31]</w:t>
      </w:r>
      <w:r w:rsidRPr="00A47525">
        <w:rPr>
          <w:sz w:val="22"/>
          <w:szCs w:val="22"/>
        </w:rPr>
        <w:t>. Empirical studies confirm that psychological restoration is a significant predictor of place attachment, particularly in natural settings</w:t>
      </w:r>
      <w:r w:rsidR="00365CC9">
        <w:rPr>
          <w:sz w:val="22"/>
          <w:szCs w:val="22"/>
        </w:rPr>
        <w:t xml:space="preserve"> [15], [32]</w:t>
      </w:r>
      <w:r w:rsidRPr="00A47525">
        <w:rPr>
          <w:sz w:val="22"/>
          <w:szCs w:val="22"/>
        </w:rPr>
        <w:t>.</w:t>
      </w:r>
      <w:r w:rsidR="00365CC9">
        <w:rPr>
          <w:sz w:val="22"/>
          <w:szCs w:val="22"/>
        </w:rPr>
        <w:t xml:space="preserve"> Therefore, this study proposes the following hypothesis:</w:t>
      </w:r>
    </w:p>
    <w:p w14:paraId="36971F35" w14:textId="77777777" w:rsidR="003C22E5" w:rsidRPr="00B57D0E" w:rsidRDefault="003C22E5" w:rsidP="00C53934">
      <w:pPr>
        <w:pStyle w:val="NormalWeb"/>
        <w:spacing w:before="120" w:beforeAutospacing="0" w:after="120" w:afterAutospacing="0"/>
        <w:jc w:val="both"/>
        <w:rPr>
          <w:i/>
          <w:sz w:val="22"/>
          <w:szCs w:val="22"/>
        </w:rPr>
      </w:pPr>
      <w:r w:rsidRPr="00B57D0E">
        <w:rPr>
          <w:i/>
          <w:sz w:val="22"/>
          <w:szCs w:val="22"/>
        </w:rPr>
        <w:t>H</w:t>
      </w:r>
      <w:r w:rsidR="00A14495" w:rsidRPr="00B57D0E">
        <w:rPr>
          <w:i/>
          <w:sz w:val="22"/>
          <w:szCs w:val="22"/>
        </w:rPr>
        <w:t>7</w:t>
      </w:r>
      <w:r w:rsidRPr="00B57D0E">
        <w:rPr>
          <w:i/>
          <w:sz w:val="22"/>
          <w:szCs w:val="22"/>
        </w:rPr>
        <w:t>. Refreshment positively influences place attachment.</w:t>
      </w:r>
    </w:p>
    <w:p w14:paraId="5E9500AE" w14:textId="6CCB098C" w:rsidR="003C22E5" w:rsidRPr="00A47525" w:rsidRDefault="00AF56B0" w:rsidP="00C53934">
      <w:pPr>
        <w:pStyle w:val="Heading3"/>
        <w:jc w:val="both"/>
      </w:pPr>
      <w:r>
        <w:t xml:space="preserve">2.5.2. </w:t>
      </w:r>
      <w:r w:rsidR="003C22E5" w:rsidRPr="00A47525">
        <w:t>Place Attachment and Green</w:t>
      </w:r>
      <w:r w:rsidR="00D76F7E">
        <w:t xml:space="preserve"> Behavioural</w:t>
      </w:r>
      <w:r w:rsidR="003C22E5" w:rsidRPr="00A47525">
        <w:t xml:space="preserve"> Intentions</w:t>
      </w:r>
    </w:p>
    <w:p w14:paraId="04F04B4B" w14:textId="0E650C02"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Place attachment is widely recognised as a key antecedent of environmentally responsible behaviour. According to place stewardship theory</w:t>
      </w:r>
      <w:r w:rsidR="00365CC9">
        <w:rPr>
          <w:sz w:val="22"/>
          <w:szCs w:val="22"/>
        </w:rPr>
        <w:t xml:space="preserve"> [33], [34]</w:t>
      </w:r>
      <w:r w:rsidRPr="00A47525">
        <w:rPr>
          <w:sz w:val="22"/>
          <w:szCs w:val="22"/>
        </w:rPr>
        <w:t>, emotional bonds with destinations generate moral responsibility and protective intentions</w:t>
      </w:r>
      <w:r w:rsidR="00365CC9">
        <w:rPr>
          <w:sz w:val="22"/>
          <w:szCs w:val="22"/>
        </w:rPr>
        <w:t xml:space="preserve"> [35]</w:t>
      </w:r>
      <w:r w:rsidRPr="00A47525">
        <w:rPr>
          <w:sz w:val="22"/>
          <w:szCs w:val="22"/>
        </w:rPr>
        <w:t xml:space="preserve">. Empirical studies consistently support this relationship. Stronger place attachment has been shown to increase tourists’ willingness to respect regulations, minimise environmental impacts, and support conservation initiatives in both heritage and nature-based tourism </w:t>
      </w:r>
      <w:r w:rsidR="00A14495" w:rsidRPr="00A47525">
        <w:rPr>
          <w:sz w:val="22"/>
          <w:szCs w:val="22"/>
        </w:rPr>
        <w:t xml:space="preserve">contexts </w:t>
      </w:r>
      <w:r w:rsidR="00365CC9">
        <w:rPr>
          <w:sz w:val="22"/>
          <w:szCs w:val="22"/>
        </w:rPr>
        <w:t>[35]-[37]</w:t>
      </w:r>
      <w:r w:rsidRPr="00A47525">
        <w:rPr>
          <w:sz w:val="22"/>
          <w:szCs w:val="22"/>
        </w:rPr>
        <w:t>. Moreover, place attachment operates through both place identity and place dependence, motivating protection through symbolic belonging and functional reliance</w:t>
      </w:r>
      <w:r w:rsidR="00365CC9">
        <w:rPr>
          <w:sz w:val="22"/>
          <w:szCs w:val="22"/>
        </w:rPr>
        <w:t xml:space="preserve"> [11], [35], [36]</w:t>
      </w:r>
      <w:r w:rsidRPr="00A47525">
        <w:rPr>
          <w:sz w:val="22"/>
          <w:szCs w:val="22"/>
        </w:rPr>
        <w:t>.In ecotourism destinations such as Gia Lai, where natural landscapes are both fragile and culturally significant, place attachment is particularly salient. Tourists who develop strong emotional bonds with these environments are more likely to translate attachment into concrete green intentions.</w:t>
      </w:r>
      <w:r w:rsidR="00365CC9">
        <w:rPr>
          <w:sz w:val="22"/>
          <w:szCs w:val="22"/>
        </w:rPr>
        <w:t xml:space="preserve"> As such, this study proposes:</w:t>
      </w:r>
    </w:p>
    <w:p w14:paraId="11852DC7" w14:textId="610681F5" w:rsidR="003C22E5" w:rsidRPr="00007D1E" w:rsidRDefault="003C22E5" w:rsidP="00C53934">
      <w:pPr>
        <w:pStyle w:val="NormalWeb"/>
        <w:spacing w:before="120" w:beforeAutospacing="0" w:after="120" w:afterAutospacing="0"/>
        <w:jc w:val="both"/>
        <w:rPr>
          <w:i/>
          <w:sz w:val="22"/>
          <w:szCs w:val="22"/>
        </w:rPr>
      </w:pPr>
      <w:r w:rsidRPr="00007D1E">
        <w:rPr>
          <w:i/>
          <w:sz w:val="22"/>
          <w:szCs w:val="22"/>
        </w:rPr>
        <w:t>H</w:t>
      </w:r>
      <w:r w:rsidR="00A14495" w:rsidRPr="00007D1E">
        <w:rPr>
          <w:i/>
          <w:sz w:val="22"/>
          <w:szCs w:val="22"/>
        </w:rPr>
        <w:t>8</w:t>
      </w:r>
      <w:r w:rsidRPr="00007D1E">
        <w:rPr>
          <w:i/>
          <w:sz w:val="22"/>
          <w:szCs w:val="22"/>
        </w:rPr>
        <w:t>. Place attachment positively and directly influences green</w:t>
      </w:r>
      <w:r w:rsidR="00D76F7E" w:rsidRPr="00007D1E">
        <w:rPr>
          <w:i/>
          <w:sz w:val="22"/>
          <w:szCs w:val="22"/>
        </w:rPr>
        <w:t xml:space="preserve"> behavioural</w:t>
      </w:r>
      <w:r w:rsidRPr="00007D1E">
        <w:rPr>
          <w:i/>
          <w:sz w:val="22"/>
          <w:szCs w:val="22"/>
        </w:rPr>
        <w:t xml:space="preserve"> intentions.</w:t>
      </w:r>
    </w:p>
    <w:p w14:paraId="3D39E13E" w14:textId="47066B4F" w:rsidR="003C22E5" w:rsidRPr="00A47525" w:rsidRDefault="00AF56B0" w:rsidP="00C53934">
      <w:pPr>
        <w:pStyle w:val="Heading1"/>
        <w:jc w:val="both"/>
      </w:pPr>
      <w:r>
        <w:t xml:space="preserve">3. </w:t>
      </w:r>
      <w:r w:rsidR="00B57D0E" w:rsidRPr="00A47525">
        <w:t>METHODOLOGY</w:t>
      </w:r>
    </w:p>
    <w:p w14:paraId="7082D8F8" w14:textId="2CF5A252" w:rsidR="003C22E5" w:rsidRPr="00A47525" w:rsidRDefault="00AF56B0" w:rsidP="00C53934">
      <w:pPr>
        <w:pStyle w:val="Heading2"/>
        <w:jc w:val="both"/>
      </w:pPr>
      <w:r>
        <w:t xml:space="preserve">3.1. </w:t>
      </w:r>
      <w:r w:rsidR="003C22E5" w:rsidRPr="00A47525">
        <w:t>Research context</w:t>
      </w:r>
    </w:p>
    <w:p w14:paraId="66CA8CF1" w14:textId="0F2E683C"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 xml:space="preserve">This study </w:t>
      </w:r>
      <w:r w:rsidR="0067617E" w:rsidRPr="00A47525">
        <w:rPr>
          <w:sz w:val="22"/>
          <w:szCs w:val="22"/>
        </w:rPr>
        <w:t>was</w:t>
      </w:r>
      <w:r w:rsidRPr="00A47525">
        <w:rPr>
          <w:sz w:val="22"/>
          <w:szCs w:val="22"/>
        </w:rPr>
        <w:t xml:space="preserve"> conducted in Gia Lai province, an emerging tourism destination in Vietnam’s Central Highlands that has recently undergone administrative consolidation. The province is characterized by the integration of diverse tourism resources, including forest ecosystems, waterfalls, highland landscapes, coastal areas, and protected natural zones such as national parks and biosphere reserves</w:t>
      </w:r>
      <w:r w:rsidR="00365CC9">
        <w:rPr>
          <w:sz w:val="22"/>
          <w:szCs w:val="22"/>
        </w:rPr>
        <w:t xml:space="preserve"> [38]</w:t>
      </w:r>
      <w:r w:rsidRPr="00A47525">
        <w:rPr>
          <w:sz w:val="22"/>
          <w:szCs w:val="22"/>
        </w:rPr>
        <w:t>. This multi-ecosystem configuration creates significant opportunities for tourism development while simultaneously posing challenges for environmental conservation and sustainable destination management</w:t>
      </w:r>
      <w:r w:rsidR="00365CC9">
        <w:rPr>
          <w:sz w:val="22"/>
          <w:szCs w:val="22"/>
        </w:rPr>
        <w:t xml:space="preserve"> [38], [39]</w:t>
      </w:r>
      <w:r w:rsidRPr="00A47525">
        <w:rPr>
          <w:sz w:val="22"/>
          <w:szCs w:val="22"/>
        </w:rPr>
        <w:t>.</w:t>
      </w:r>
      <w:r w:rsidR="001169AD" w:rsidRPr="00A47525">
        <w:rPr>
          <w:sz w:val="22"/>
          <w:szCs w:val="22"/>
        </w:rPr>
        <w:t xml:space="preserve"> </w:t>
      </w:r>
      <w:r w:rsidRPr="00A47525">
        <w:rPr>
          <w:sz w:val="22"/>
          <w:szCs w:val="22"/>
        </w:rPr>
        <w:t>In recent years, Gia Lai has experienced a rapid increase in domestic tourism</w:t>
      </w:r>
      <w:r w:rsidR="00365CC9">
        <w:rPr>
          <w:sz w:val="22"/>
          <w:szCs w:val="22"/>
        </w:rPr>
        <w:t xml:space="preserve"> [39]</w:t>
      </w:r>
      <w:r w:rsidRPr="00A47525">
        <w:rPr>
          <w:sz w:val="22"/>
          <w:szCs w:val="22"/>
        </w:rPr>
        <w:t xml:space="preserve">, particularly in nature-based, ecotourism, and community-oriented travel activities. At the same time, growing visitor flows have intensified environmental pressure on fragile ecosystems, highlighting the need to promote environmentally responsible tourist behaviour. This context provides an appropriate empirical setting for examining how </w:t>
      </w:r>
      <w:r w:rsidR="004171F4">
        <w:rPr>
          <w:sz w:val="22"/>
          <w:szCs w:val="22"/>
        </w:rPr>
        <w:t>MTE</w:t>
      </w:r>
      <w:r w:rsidRPr="00A47525">
        <w:rPr>
          <w:sz w:val="22"/>
          <w:szCs w:val="22"/>
        </w:rPr>
        <w:t xml:space="preserve"> shape place attachment and, subsequently, </w:t>
      </w:r>
      <w:r w:rsidR="004171F4">
        <w:rPr>
          <w:sz w:val="22"/>
          <w:szCs w:val="22"/>
        </w:rPr>
        <w:t>GBI</w:t>
      </w:r>
      <w:r w:rsidRPr="00A47525">
        <w:rPr>
          <w:sz w:val="22"/>
          <w:szCs w:val="22"/>
        </w:rPr>
        <w:t xml:space="preserve"> among domestic tourists in an emerging and environmentally sensitive destination.</w:t>
      </w:r>
    </w:p>
    <w:p w14:paraId="038DD44B" w14:textId="122321F9" w:rsidR="003C22E5" w:rsidRPr="00A47525" w:rsidRDefault="00AF56B0" w:rsidP="00C53934">
      <w:pPr>
        <w:pStyle w:val="Heading2"/>
        <w:jc w:val="both"/>
      </w:pPr>
      <w:r>
        <w:t xml:space="preserve">3.2. </w:t>
      </w:r>
      <w:r w:rsidR="00607784">
        <w:t>Data collection</w:t>
      </w:r>
      <w:r>
        <w:t xml:space="preserve"> and analysis</w:t>
      </w:r>
    </w:p>
    <w:p w14:paraId="576EC2B9" w14:textId="74CB00F8" w:rsidR="00B93F5E" w:rsidRPr="00E72C1E" w:rsidRDefault="003C22E5" w:rsidP="00C53934">
      <w:pPr>
        <w:pStyle w:val="NormalWeb"/>
        <w:spacing w:before="120" w:beforeAutospacing="0" w:after="120" w:afterAutospacing="0"/>
        <w:ind w:firstLine="720"/>
        <w:jc w:val="both"/>
        <w:rPr>
          <w:sz w:val="22"/>
          <w:szCs w:val="22"/>
        </w:rPr>
      </w:pPr>
      <w:r w:rsidRPr="00A47525">
        <w:rPr>
          <w:sz w:val="22"/>
          <w:szCs w:val="22"/>
        </w:rPr>
        <w:t>A non-probability purposive sampling strategy was employed to recruit respondents who met three criteria. Respondents were required to be Vietnamese nationals, to have traveled domestically for leisure within the previous twelve months, and to have visited at least one of the selected destinations in Gia Lai or nearby areas. This sampling approach is appropriate for tourism research conducted in emerging destinations where comprehensive sampling frames are unavailable</w:t>
      </w:r>
      <w:r w:rsidR="00365CC9">
        <w:rPr>
          <w:sz w:val="22"/>
          <w:szCs w:val="22"/>
        </w:rPr>
        <w:t>,</w:t>
      </w:r>
      <w:r w:rsidRPr="00A47525">
        <w:rPr>
          <w:sz w:val="22"/>
          <w:szCs w:val="22"/>
        </w:rPr>
        <w:t xml:space="preserve"> and visitor flows are heterogeneous</w:t>
      </w:r>
      <w:r w:rsidR="00365CC9">
        <w:rPr>
          <w:sz w:val="22"/>
          <w:szCs w:val="22"/>
        </w:rPr>
        <w:t xml:space="preserve"> [40], [41]</w:t>
      </w:r>
      <w:r w:rsidRPr="00A47525">
        <w:rPr>
          <w:sz w:val="22"/>
          <w:szCs w:val="22"/>
        </w:rPr>
        <w:t>. To ensure adequate statistical power for structural equation modeling, a minimum sample size of 300 valid responses was targeted in line with methodological recommendations in multivariate analysis</w:t>
      </w:r>
      <w:r w:rsidR="00365CC9">
        <w:rPr>
          <w:sz w:val="22"/>
          <w:szCs w:val="22"/>
        </w:rPr>
        <w:t xml:space="preserve"> [41], [42]</w:t>
      </w:r>
      <w:r w:rsidRPr="00A47525">
        <w:rPr>
          <w:sz w:val="22"/>
          <w:szCs w:val="22"/>
        </w:rPr>
        <w:t>.</w:t>
      </w:r>
      <w:r w:rsidR="00E72C1E">
        <w:rPr>
          <w:sz w:val="22"/>
          <w:szCs w:val="22"/>
        </w:rPr>
        <w:t xml:space="preserve"> </w:t>
      </w:r>
      <w:r w:rsidR="00D76F7E" w:rsidRPr="00F73A76">
        <w:rPr>
          <w:sz w:val="22"/>
        </w:rPr>
        <w:t xml:space="preserve">This study employs an explanatory quantitative research approach to examine the relationships among memorable tourism experiences (MTE), place attachment (PA), and green behavioural intentions (GBI). </w:t>
      </w:r>
      <w:r w:rsidR="00B93F5E" w:rsidRPr="00F73A76">
        <w:rPr>
          <w:sz w:val="22"/>
        </w:rPr>
        <w:t>All constructs were measured using previously validated scales to ensure content validity and theoretical consistency.MTEs were operationalised as a multidimensional construct comprising seven dimensions</w:t>
      </w:r>
      <w:r w:rsidR="00F73A76">
        <w:rPr>
          <w:sz w:val="22"/>
        </w:rPr>
        <w:t>-</w:t>
      </w:r>
      <w:r w:rsidR="00B93F5E" w:rsidRPr="00F73A76">
        <w:rPr>
          <w:sz w:val="22"/>
        </w:rPr>
        <w:t>novelty, hedonism, local culture, meaningfulness, refreshment, involvement, and knowledge</w:t>
      </w:r>
      <w:r w:rsidR="00F73A76">
        <w:rPr>
          <w:sz w:val="22"/>
        </w:rPr>
        <w:t>-</w:t>
      </w:r>
      <w:r w:rsidR="00B93F5E" w:rsidRPr="00F73A76">
        <w:rPr>
          <w:sz w:val="22"/>
        </w:rPr>
        <w:t>measured using 24 items adapted from prior research</w:t>
      </w:r>
      <w:r w:rsidR="00365CC9">
        <w:rPr>
          <w:sz w:val="22"/>
        </w:rPr>
        <w:t xml:space="preserve"> [1]</w:t>
      </w:r>
      <w:r w:rsidR="00B93F5E" w:rsidRPr="00F73A76">
        <w:rPr>
          <w:sz w:val="22"/>
        </w:rPr>
        <w:t xml:space="preserve">, </w:t>
      </w:r>
      <w:r w:rsidR="00B31722" w:rsidRPr="00F73A76">
        <w:rPr>
          <w:sz w:val="22"/>
        </w:rPr>
        <w:t>six</w:t>
      </w:r>
      <w:r w:rsidR="00B93F5E" w:rsidRPr="00F73A76">
        <w:rPr>
          <w:sz w:val="22"/>
          <w:lang w:eastAsia="ja-JP"/>
        </w:rPr>
        <w:t xml:space="preserve"> items measuring </w:t>
      </w:r>
      <w:r w:rsidR="00B93F5E" w:rsidRPr="00607784">
        <w:rPr>
          <w:sz w:val="22"/>
          <w:lang w:eastAsia="ja-JP"/>
        </w:rPr>
        <w:t>P</w:t>
      </w:r>
      <w:r w:rsidR="00607784">
        <w:rPr>
          <w:sz w:val="22"/>
          <w:lang w:eastAsia="ja-JP"/>
        </w:rPr>
        <w:t>A [</w:t>
      </w:r>
      <w:r w:rsidR="00007D1E">
        <w:rPr>
          <w:sz w:val="22"/>
          <w:lang w:eastAsia="ja-JP"/>
        </w:rPr>
        <w:t>9</w:t>
      </w:r>
      <w:r w:rsidR="00607784">
        <w:rPr>
          <w:sz w:val="22"/>
          <w:lang w:eastAsia="ja-JP"/>
        </w:rPr>
        <w:t>]</w:t>
      </w:r>
      <w:r w:rsidR="00B93F5E" w:rsidRPr="00F73A76">
        <w:rPr>
          <w:sz w:val="22"/>
          <w:lang w:eastAsia="ja-JP"/>
        </w:rPr>
        <w:t>, and three items measuring GBI</w:t>
      </w:r>
      <w:r w:rsidR="00607784">
        <w:rPr>
          <w:sz w:val="22"/>
          <w:lang w:eastAsia="ja-JP"/>
        </w:rPr>
        <w:t xml:space="preserve"> [4</w:t>
      </w:r>
      <w:r w:rsidR="00007D1E">
        <w:rPr>
          <w:sz w:val="22"/>
          <w:lang w:eastAsia="ja-JP"/>
        </w:rPr>
        <w:t>3</w:t>
      </w:r>
      <w:r w:rsidR="00607784">
        <w:rPr>
          <w:sz w:val="22"/>
          <w:lang w:eastAsia="ja-JP"/>
        </w:rPr>
        <w:t>]</w:t>
      </w:r>
      <w:r w:rsidR="00B93F5E" w:rsidRPr="00F73A76">
        <w:rPr>
          <w:sz w:val="22"/>
          <w:lang w:eastAsia="ja-JP"/>
        </w:rPr>
        <w:t xml:space="preserve">.  </w:t>
      </w:r>
      <w:r w:rsidR="00B93F5E" w:rsidRPr="00F73A76">
        <w:rPr>
          <w:sz w:val="22"/>
        </w:rPr>
        <w:t>All items were assessed using a seven-point Likert scale (1 = strongly disagree, 7 = strongly agree).</w:t>
      </w:r>
    </w:p>
    <w:p w14:paraId="1AAC053A" w14:textId="64FE99F2" w:rsidR="00607784" w:rsidRPr="00F73A76" w:rsidRDefault="00E72C1E" w:rsidP="00C53934">
      <w:pPr>
        <w:ind w:firstLine="720"/>
        <w:jc w:val="both"/>
        <w:rPr>
          <w:sz w:val="22"/>
        </w:rPr>
      </w:pPr>
      <w:r>
        <w:rPr>
          <w:sz w:val="22"/>
        </w:rPr>
        <w:t>A mixed-mode</w:t>
      </w:r>
      <w:r w:rsidR="00607784" w:rsidRPr="00A47525">
        <w:rPr>
          <w:sz w:val="22"/>
        </w:rPr>
        <w:t xml:space="preserve"> survey administration strategy was adopted to enhance coverage and reduce potential sampling bias</w:t>
      </w:r>
      <w:r w:rsidR="00607784">
        <w:rPr>
          <w:sz w:val="22"/>
        </w:rPr>
        <w:t xml:space="preserve"> [</w:t>
      </w:r>
      <w:r w:rsidR="00007D1E">
        <w:rPr>
          <w:sz w:val="22"/>
        </w:rPr>
        <w:t>9</w:t>
      </w:r>
      <w:r w:rsidR="00607784">
        <w:rPr>
          <w:sz w:val="22"/>
        </w:rPr>
        <w:t>]</w:t>
      </w:r>
      <w:r w:rsidR="00607784" w:rsidRPr="00A47525">
        <w:rPr>
          <w:sz w:val="22"/>
        </w:rPr>
        <w:t>. Online questionnaires were administered using a web-based survey platform and distributed through social media channels, domestic travel communities, and university networks. This approach facilitated access to respondents who were familiar with digital survey formats. In parallel, paper-based questionnaires were administered on site at key tourism locations, including Eo Gi</w:t>
      </w:r>
      <w:r w:rsidR="00607784">
        <w:rPr>
          <w:sz w:val="22"/>
        </w:rPr>
        <w:t>ó</w:t>
      </w:r>
      <w:r w:rsidR="00607784" w:rsidRPr="00A47525">
        <w:rPr>
          <w:sz w:val="22"/>
        </w:rPr>
        <w:t>, and Quy Nh</w:t>
      </w:r>
      <w:r w:rsidR="00EB6639">
        <w:rPr>
          <w:sz w:val="22"/>
        </w:rPr>
        <w:t>ơ</w:t>
      </w:r>
      <w:r w:rsidR="00607784">
        <w:rPr>
          <w:sz w:val="22"/>
        </w:rPr>
        <w:t>n wards</w:t>
      </w:r>
      <w:r w:rsidR="00607784" w:rsidRPr="00A47525">
        <w:rPr>
          <w:sz w:val="22"/>
        </w:rPr>
        <w:t>. On-site administration allowed direct engagement with tourists at the destination and complemented the online data collection. The combined approach enabled the inclusion of both digitally oriented tourists and visitors encountered during their travel experiences.</w:t>
      </w:r>
    </w:p>
    <w:p w14:paraId="2A2B530F" w14:textId="6209A520"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A pilot test was conducted with thirty domestic tourists to assess clarity, cultural appropriateness, and comprehension of the survey items. Based on feedback from the pilot test, minor wording adjustments were made to improve readability and contextual relevance before launching the main survey.</w:t>
      </w:r>
    </w:p>
    <w:p w14:paraId="2D90425D" w14:textId="31F0935A" w:rsidR="003C22E5" w:rsidRPr="00A47525" w:rsidRDefault="003C22E5" w:rsidP="00C53934">
      <w:pPr>
        <w:pStyle w:val="NormalWeb"/>
        <w:spacing w:before="120" w:beforeAutospacing="0" w:after="120" w:afterAutospacing="0"/>
        <w:ind w:firstLine="720"/>
        <w:jc w:val="both"/>
        <w:rPr>
          <w:sz w:val="22"/>
          <w:szCs w:val="22"/>
        </w:rPr>
      </w:pPr>
      <w:r w:rsidRPr="00A47525">
        <w:rPr>
          <w:sz w:val="22"/>
          <w:szCs w:val="22"/>
        </w:rPr>
        <w:t xml:space="preserve">Participation in the study was voluntary, and respondents were informed of the research purpose </w:t>
      </w:r>
      <w:r w:rsidR="00EB6639">
        <w:rPr>
          <w:sz w:val="22"/>
          <w:szCs w:val="22"/>
        </w:rPr>
        <w:t>before</w:t>
      </w:r>
      <w:r w:rsidRPr="00A47525">
        <w:rPr>
          <w:sz w:val="22"/>
          <w:szCs w:val="22"/>
        </w:rPr>
        <w:t xml:space="preserve"> completing the questionnaire. Anonymity and confidentiality were assured, and no personally identifiable information was collected. Informed consent was obtained from all participants, and the research adhered to institutional ethical standards for social science research</w:t>
      </w:r>
    </w:p>
    <w:p w14:paraId="72BC4268" w14:textId="3149DBCB" w:rsidR="003C22E5" w:rsidRPr="00A47525" w:rsidRDefault="003C22E5" w:rsidP="00C53934">
      <w:pPr>
        <w:pStyle w:val="NormalWeb"/>
        <w:spacing w:before="120" w:beforeAutospacing="0" w:after="120" w:afterAutospacing="0"/>
        <w:jc w:val="both"/>
        <w:rPr>
          <w:sz w:val="22"/>
          <w:szCs w:val="22"/>
        </w:rPr>
      </w:pPr>
      <w:r w:rsidRPr="00A47525">
        <w:rPr>
          <w:sz w:val="22"/>
          <w:szCs w:val="22"/>
        </w:rPr>
        <w:t xml:space="preserve">Data analysis followed a </w:t>
      </w:r>
      <w:r w:rsidR="00607784">
        <w:rPr>
          <w:sz w:val="22"/>
          <w:szCs w:val="22"/>
        </w:rPr>
        <w:t>two-step</w:t>
      </w:r>
      <w:r w:rsidRPr="00A47525">
        <w:rPr>
          <w:sz w:val="22"/>
          <w:szCs w:val="22"/>
        </w:rPr>
        <w:t xml:space="preserve"> structural equation modelling approach. The measurement model was first evaluated by examining internal consistency reliability using Cronbach’s alpha and composite reliability, as well as convergent and discriminant validity through factor loadings and average variance extracted. Subsequently, the structural model was estimated to test the hypothesised relationships </w:t>
      </w:r>
      <w:r w:rsidR="00B31722">
        <w:rPr>
          <w:sz w:val="22"/>
          <w:szCs w:val="22"/>
        </w:rPr>
        <w:t>among MTE, PA, and GBI</w:t>
      </w:r>
      <w:r w:rsidRPr="00A47525">
        <w:rPr>
          <w:sz w:val="22"/>
          <w:szCs w:val="22"/>
        </w:rPr>
        <w:t xml:space="preserve">. Model fit was assessed using standard goodness of fit indices, including the comparative fit index, </w:t>
      </w:r>
      <w:r w:rsidR="009C0D3C" w:rsidRPr="00A47525">
        <w:rPr>
          <w:sz w:val="22"/>
          <w:szCs w:val="22"/>
        </w:rPr>
        <w:t>Tucker-Lewis</w:t>
      </w:r>
      <w:r w:rsidRPr="00A47525">
        <w:rPr>
          <w:sz w:val="22"/>
          <w:szCs w:val="22"/>
        </w:rPr>
        <w:t xml:space="preserve"> index, root mean square error of approximation, and standardised root mean square residual, in accordance with established structural equation modelling guidelines.</w:t>
      </w:r>
    </w:p>
    <w:p w14:paraId="3B4C832C" w14:textId="21042314" w:rsidR="00F86A80" w:rsidRPr="00A47525" w:rsidRDefault="00AF56B0" w:rsidP="00C53934">
      <w:pPr>
        <w:pStyle w:val="Heading1"/>
        <w:jc w:val="both"/>
      </w:pPr>
      <w:r>
        <w:t xml:space="preserve">4. </w:t>
      </w:r>
      <w:r w:rsidR="00B57D0E" w:rsidRPr="00A47525">
        <w:t>RESULTS</w:t>
      </w:r>
    </w:p>
    <w:p w14:paraId="504259E2" w14:textId="144DDC7A" w:rsidR="00A3140A" w:rsidRPr="00A47525" w:rsidRDefault="00AF56B0" w:rsidP="00C53934">
      <w:pPr>
        <w:pStyle w:val="Heading2"/>
        <w:jc w:val="both"/>
        <w:rPr>
          <w:rFonts w:eastAsia="Times New Roman"/>
          <w:lang w:eastAsia="ja-JP"/>
        </w:rPr>
      </w:pPr>
      <w:r>
        <w:t xml:space="preserve">4.1. </w:t>
      </w:r>
      <w:r w:rsidR="00A3140A" w:rsidRPr="00A47525">
        <w:t xml:space="preserve">Demographic characteristics </w:t>
      </w:r>
    </w:p>
    <w:p w14:paraId="1C7F0694" w14:textId="3C98BB0F" w:rsidR="00A3140A" w:rsidRPr="00A47525" w:rsidRDefault="00A3140A" w:rsidP="00C53934">
      <w:pPr>
        <w:spacing w:before="120" w:after="120" w:line="240" w:lineRule="auto"/>
        <w:ind w:firstLine="720"/>
        <w:jc w:val="both"/>
        <w:rPr>
          <w:rFonts w:cs="Times New Roman"/>
          <w:sz w:val="22"/>
        </w:rPr>
      </w:pPr>
      <w:r w:rsidRPr="00A47525">
        <w:rPr>
          <w:rFonts w:cs="Times New Roman"/>
          <w:sz w:val="22"/>
        </w:rPr>
        <w:t xml:space="preserve">Demographic characteristics of the respondents are summarized in Table 1. Overall, the sample consisted mainly of </w:t>
      </w:r>
      <w:r w:rsidR="00025D68">
        <w:rPr>
          <w:rFonts w:cs="Times New Roman"/>
          <w:sz w:val="22"/>
        </w:rPr>
        <w:t>females</w:t>
      </w:r>
      <w:r w:rsidRPr="00A47525">
        <w:rPr>
          <w:rFonts w:cs="Times New Roman"/>
          <w:sz w:val="22"/>
        </w:rPr>
        <w:t>, and predominantly repeat visitors to the destination.</w:t>
      </w:r>
    </w:p>
    <w:p w14:paraId="6F2A93EE" w14:textId="77777777" w:rsidR="00E72C1E" w:rsidRDefault="00E72C1E" w:rsidP="00A47525">
      <w:pPr>
        <w:spacing w:before="120" w:after="120" w:line="240" w:lineRule="auto"/>
        <w:ind w:firstLine="720"/>
        <w:rPr>
          <w:rFonts w:cs="Times New Roman"/>
          <w:b/>
          <w:bCs/>
          <w:sz w:val="22"/>
        </w:rPr>
        <w:sectPr w:rsidR="00E72C1E" w:rsidSect="00E72C1E">
          <w:type w:val="continuous"/>
          <w:pgSz w:w="12240" w:h="15840"/>
          <w:pgMar w:top="1134" w:right="1134" w:bottom="1134" w:left="1418" w:header="720" w:footer="720" w:gutter="0"/>
          <w:cols w:num="2" w:space="720"/>
          <w:docGrid w:linePitch="360"/>
        </w:sectPr>
      </w:pPr>
    </w:p>
    <w:p w14:paraId="4503F2B0" w14:textId="39543964" w:rsidR="00A3140A" w:rsidRPr="00EB6639" w:rsidRDefault="00A3140A" w:rsidP="00EB6639">
      <w:pPr>
        <w:spacing w:before="240" w:after="120" w:line="240" w:lineRule="auto"/>
        <w:jc w:val="both"/>
        <w:rPr>
          <w:rFonts w:cs="Times New Roman"/>
          <w:sz w:val="20"/>
          <w:szCs w:val="20"/>
          <w:lang w:eastAsia="ja-JP"/>
        </w:rPr>
      </w:pPr>
      <w:r w:rsidRPr="00EB6639">
        <w:rPr>
          <w:rFonts w:cs="Times New Roman"/>
          <w:b/>
          <w:bCs/>
          <w:sz w:val="20"/>
          <w:szCs w:val="20"/>
        </w:rPr>
        <w:t>Table 1</w:t>
      </w:r>
      <w:r w:rsidR="00E72C1E" w:rsidRPr="00EB6639">
        <w:rPr>
          <w:rFonts w:cs="Times New Roman"/>
          <w:b/>
          <w:bCs/>
          <w:sz w:val="20"/>
          <w:szCs w:val="20"/>
        </w:rPr>
        <w:t xml:space="preserve">. </w:t>
      </w:r>
      <w:r w:rsidRPr="00EB6639">
        <w:rPr>
          <w:rFonts w:cs="Times New Roman"/>
          <w:sz w:val="20"/>
          <w:szCs w:val="20"/>
        </w:rPr>
        <w:t>Demographic profile of respondents</w:t>
      </w:r>
    </w:p>
    <w:tbl>
      <w:tblPr>
        <w:tblStyle w:val="TableGrid"/>
        <w:tblW w:w="0" w:type="auto"/>
        <w:tblLook w:val="04A0" w:firstRow="1" w:lastRow="0" w:firstColumn="1" w:lastColumn="0" w:noHBand="0" w:noVBand="1"/>
      </w:tblPr>
      <w:tblGrid>
        <w:gridCol w:w="3116"/>
        <w:gridCol w:w="1294"/>
        <w:gridCol w:w="967"/>
      </w:tblGrid>
      <w:tr w:rsidR="00A3140A" w:rsidRPr="00EB6639" w14:paraId="68B28AED" w14:textId="77777777" w:rsidTr="00E72C1E">
        <w:tc>
          <w:tcPr>
            <w:tcW w:w="3116" w:type="dxa"/>
          </w:tcPr>
          <w:p w14:paraId="43821F81" w14:textId="77777777" w:rsidR="00A3140A" w:rsidRPr="00EB6639" w:rsidRDefault="00A3140A" w:rsidP="00EB6639">
            <w:pPr>
              <w:spacing w:before="240" w:after="120"/>
              <w:jc w:val="both"/>
              <w:rPr>
                <w:rFonts w:ascii="Times New Roman" w:hAnsi="Times New Roman" w:cs="Times New Roman"/>
                <w:sz w:val="20"/>
                <w:szCs w:val="20"/>
              </w:rPr>
            </w:pPr>
          </w:p>
        </w:tc>
        <w:tc>
          <w:tcPr>
            <w:tcW w:w="1294" w:type="dxa"/>
          </w:tcPr>
          <w:p w14:paraId="71FF825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N</w:t>
            </w:r>
          </w:p>
        </w:tc>
        <w:tc>
          <w:tcPr>
            <w:tcW w:w="967" w:type="dxa"/>
          </w:tcPr>
          <w:p w14:paraId="7237FB5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w:t>
            </w:r>
          </w:p>
        </w:tc>
      </w:tr>
      <w:tr w:rsidR="00A3140A" w:rsidRPr="00EB6639" w14:paraId="1BF65552" w14:textId="77777777" w:rsidTr="00E72C1E">
        <w:tc>
          <w:tcPr>
            <w:tcW w:w="3116" w:type="dxa"/>
          </w:tcPr>
          <w:p w14:paraId="2488A135"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Gender (N=369)</w:t>
            </w:r>
          </w:p>
        </w:tc>
        <w:tc>
          <w:tcPr>
            <w:tcW w:w="1294" w:type="dxa"/>
          </w:tcPr>
          <w:p w14:paraId="289D3271" w14:textId="77777777" w:rsidR="00A3140A" w:rsidRPr="00EB6639" w:rsidRDefault="00A3140A" w:rsidP="00EB6639">
            <w:pPr>
              <w:spacing w:before="240" w:after="120"/>
              <w:jc w:val="both"/>
              <w:rPr>
                <w:rFonts w:ascii="Times New Roman" w:hAnsi="Times New Roman" w:cs="Times New Roman"/>
                <w:b/>
                <w:bCs/>
                <w:sz w:val="20"/>
                <w:szCs w:val="20"/>
              </w:rPr>
            </w:pPr>
          </w:p>
        </w:tc>
        <w:tc>
          <w:tcPr>
            <w:tcW w:w="967" w:type="dxa"/>
          </w:tcPr>
          <w:p w14:paraId="31A4D7C4" w14:textId="77777777" w:rsidR="00A3140A" w:rsidRPr="00EB6639" w:rsidRDefault="00A3140A" w:rsidP="00EB6639">
            <w:pPr>
              <w:spacing w:before="240" w:after="120"/>
              <w:jc w:val="both"/>
              <w:rPr>
                <w:rFonts w:ascii="Times New Roman" w:hAnsi="Times New Roman" w:cs="Times New Roman"/>
                <w:b/>
                <w:bCs/>
                <w:sz w:val="20"/>
                <w:szCs w:val="20"/>
              </w:rPr>
            </w:pPr>
          </w:p>
        </w:tc>
      </w:tr>
      <w:tr w:rsidR="00A3140A" w:rsidRPr="00EB6639" w14:paraId="0FCDA5F4" w14:textId="77777777" w:rsidTr="00E72C1E">
        <w:tc>
          <w:tcPr>
            <w:tcW w:w="3116" w:type="dxa"/>
          </w:tcPr>
          <w:p w14:paraId="5433D978"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Male</w:t>
            </w:r>
          </w:p>
        </w:tc>
        <w:tc>
          <w:tcPr>
            <w:tcW w:w="1294" w:type="dxa"/>
          </w:tcPr>
          <w:p w14:paraId="642AB0A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89</w:t>
            </w:r>
          </w:p>
        </w:tc>
        <w:tc>
          <w:tcPr>
            <w:tcW w:w="967" w:type="dxa"/>
          </w:tcPr>
          <w:p w14:paraId="54C7CB43"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24.1</w:t>
            </w:r>
          </w:p>
        </w:tc>
      </w:tr>
      <w:tr w:rsidR="00A3140A" w:rsidRPr="00EB6639" w14:paraId="05DD29E9" w14:textId="77777777" w:rsidTr="00E72C1E">
        <w:tc>
          <w:tcPr>
            <w:tcW w:w="3116" w:type="dxa"/>
          </w:tcPr>
          <w:p w14:paraId="5F64489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Female</w:t>
            </w:r>
          </w:p>
        </w:tc>
        <w:tc>
          <w:tcPr>
            <w:tcW w:w="1294" w:type="dxa"/>
          </w:tcPr>
          <w:p w14:paraId="2541EFF3"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276</w:t>
            </w:r>
          </w:p>
        </w:tc>
        <w:tc>
          <w:tcPr>
            <w:tcW w:w="967" w:type="dxa"/>
          </w:tcPr>
          <w:p w14:paraId="6D9EF300"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74.8</w:t>
            </w:r>
          </w:p>
        </w:tc>
      </w:tr>
      <w:tr w:rsidR="00A3140A" w:rsidRPr="00EB6639" w14:paraId="32786AE0" w14:textId="77777777" w:rsidTr="00E72C1E">
        <w:tc>
          <w:tcPr>
            <w:tcW w:w="3116" w:type="dxa"/>
          </w:tcPr>
          <w:p w14:paraId="109D7A22"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Other</w:t>
            </w:r>
          </w:p>
        </w:tc>
        <w:tc>
          <w:tcPr>
            <w:tcW w:w="1294" w:type="dxa"/>
          </w:tcPr>
          <w:p w14:paraId="04631D7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4</w:t>
            </w:r>
          </w:p>
        </w:tc>
        <w:tc>
          <w:tcPr>
            <w:tcW w:w="967" w:type="dxa"/>
          </w:tcPr>
          <w:p w14:paraId="696DC05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1.1</w:t>
            </w:r>
          </w:p>
        </w:tc>
      </w:tr>
      <w:tr w:rsidR="00A3140A" w:rsidRPr="00EB6639" w14:paraId="29797141" w14:textId="77777777" w:rsidTr="00E72C1E">
        <w:tc>
          <w:tcPr>
            <w:tcW w:w="3116" w:type="dxa"/>
          </w:tcPr>
          <w:p w14:paraId="50A8DFBA"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Age ( N=369)</w:t>
            </w:r>
          </w:p>
        </w:tc>
        <w:tc>
          <w:tcPr>
            <w:tcW w:w="1294" w:type="dxa"/>
          </w:tcPr>
          <w:p w14:paraId="799BBFEE" w14:textId="77777777" w:rsidR="00A3140A" w:rsidRPr="00EB6639" w:rsidRDefault="00A3140A" w:rsidP="00EB6639">
            <w:pPr>
              <w:spacing w:before="240" w:after="120"/>
              <w:jc w:val="both"/>
              <w:rPr>
                <w:rFonts w:ascii="Times New Roman" w:hAnsi="Times New Roman" w:cs="Times New Roman"/>
                <w:b/>
                <w:bCs/>
                <w:sz w:val="20"/>
                <w:szCs w:val="20"/>
              </w:rPr>
            </w:pPr>
          </w:p>
        </w:tc>
        <w:tc>
          <w:tcPr>
            <w:tcW w:w="967" w:type="dxa"/>
          </w:tcPr>
          <w:p w14:paraId="671EF3BC" w14:textId="77777777" w:rsidR="00A3140A" w:rsidRPr="00EB6639" w:rsidRDefault="00A3140A" w:rsidP="00EB6639">
            <w:pPr>
              <w:spacing w:before="240" w:after="120"/>
              <w:jc w:val="both"/>
              <w:rPr>
                <w:rFonts w:ascii="Times New Roman" w:hAnsi="Times New Roman" w:cs="Times New Roman"/>
                <w:b/>
                <w:bCs/>
                <w:sz w:val="20"/>
                <w:szCs w:val="20"/>
              </w:rPr>
            </w:pPr>
          </w:p>
        </w:tc>
      </w:tr>
      <w:tr w:rsidR="00A3140A" w:rsidRPr="00EB6639" w14:paraId="431ADD21" w14:textId="77777777" w:rsidTr="00E72C1E">
        <w:tc>
          <w:tcPr>
            <w:tcW w:w="3116" w:type="dxa"/>
          </w:tcPr>
          <w:p w14:paraId="32FA8B0E"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18-25</w:t>
            </w:r>
          </w:p>
        </w:tc>
        <w:tc>
          <w:tcPr>
            <w:tcW w:w="1294" w:type="dxa"/>
          </w:tcPr>
          <w:p w14:paraId="50B553A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321</w:t>
            </w:r>
          </w:p>
        </w:tc>
        <w:tc>
          <w:tcPr>
            <w:tcW w:w="967" w:type="dxa"/>
          </w:tcPr>
          <w:p w14:paraId="57571704"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87</w:t>
            </w:r>
          </w:p>
        </w:tc>
      </w:tr>
      <w:tr w:rsidR="00A3140A" w:rsidRPr="00EB6639" w14:paraId="498059EF" w14:textId="77777777" w:rsidTr="00E72C1E">
        <w:tc>
          <w:tcPr>
            <w:tcW w:w="3116" w:type="dxa"/>
          </w:tcPr>
          <w:p w14:paraId="78A20B4F"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26-35</w:t>
            </w:r>
          </w:p>
        </w:tc>
        <w:tc>
          <w:tcPr>
            <w:tcW w:w="1294" w:type="dxa"/>
          </w:tcPr>
          <w:p w14:paraId="7B98CB1C"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20</w:t>
            </w:r>
          </w:p>
        </w:tc>
        <w:tc>
          <w:tcPr>
            <w:tcW w:w="967" w:type="dxa"/>
          </w:tcPr>
          <w:p w14:paraId="2FB4E34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5.4</w:t>
            </w:r>
          </w:p>
        </w:tc>
      </w:tr>
      <w:tr w:rsidR="00A3140A" w:rsidRPr="00EB6639" w14:paraId="33E99FD7" w14:textId="77777777" w:rsidTr="00E72C1E">
        <w:tc>
          <w:tcPr>
            <w:tcW w:w="3116" w:type="dxa"/>
          </w:tcPr>
          <w:p w14:paraId="5C070DAC"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36-45</w:t>
            </w:r>
          </w:p>
        </w:tc>
        <w:tc>
          <w:tcPr>
            <w:tcW w:w="1294" w:type="dxa"/>
          </w:tcPr>
          <w:p w14:paraId="15A47640"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18</w:t>
            </w:r>
          </w:p>
        </w:tc>
        <w:tc>
          <w:tcPr>
            <w:tcW w:w="967" w:type="dxa"/>
          </w:tcPr>
          <w:p w14:paraId="615924E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4.9</w:t>
            </w:r>
          </w:p>
        </w:tc>
      </w:tr>
      <w:tr w:rsidR="00A3140A" w:rsidRPr="00EB6639" w14:paraId="72DBECF8" w14:textId="77777777" w:rsidTr="00E72C1E">
        <w:tc>
          <w:tcPr>
            <w:tcW w:w="3116" w:type="dxa"/>
          </w:tcPr>
          <w:p w14:paraId="24A5C07E"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45-55</w:t>
            </w:r>
          </w:p>
        </w:tc>
        <w:tc>
          <w:tcPr>
            <w:tcW w:w="1294" w:type="dxa"/>
          </w:tcPr>
          <w:p w14:paraId="05D65CE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8</w:t>
            </w:r>
          </w:p>
        </w:tc>
        <w:tc>
          <w:tcPr>
            <w:tcW w:w="967" w:type="dxa"/>
          </w:tcPr>
          <w:p w14:paraId="0BB67CBC"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2.2</w:t>
            </w:r>
          </w:p>
        </w:tc>
      </w:tr>
      <w:tr w:rsidR="00A3140A" w:rsidRPr="00EB6639" w14:paraId="14199EE8" w14:textId="77777777" w:rsidTr="00E72C1E">
        <w:tc>
          <w:tcPr>
            <w:tcW w:w="3116" w:type="dxa"/>
          </w:tcPr>
          <w:p w14:paraId="7A1EDA8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Over 55</w:t>
            </w:r>
          </w:p>
        </w:tc>
        <w:tc>
          <w:tcPr>
            <w:tcW w:w="1294" w:type="dxa"/>
          </w:tcPr>
          <w:p w14:paraId="0CB277BD"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2</w:t>
            </w:r>
          </w:p>
        </w:tc>
        <w:tc>
          <w:tcPr>
            <w:tcW w:w="967" w:type="dxa"/>
          </w:tcPr>
          <w:p w14:paraId="35A8498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0.5</w:t>
            </w:r>
          </w:p>
        </w:tc>
      </w:tr>
      <w:tr w:rsidR="00A3140A" w:rsidRPr="00EB6639" w14:paraId="3C670822" w14:textId="77777777" w:rsidTr="00E72C1E">
        <w:tc>
          <w:tcPr>
            <w:tcW w:w="3116" w:type="dxa"/>
          </w:tcPr>
          <w:p w14:paraId="601371D2"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Visit status ( N=369)</w:t>
            </w:r>
          </w:p>
        </w:tc>
        <w:tc>
          <w:tcPr>
            <w:tcW w:w="1294" w:type="dxa"/>
          </w:tcPr>
          <w:p w14:paraId="6502692B" w14:textId="77777777" w:rsidR="00A3140A" w:rsidRPr="00EB6639" w:rsidRDefault="00A3140A" w:rsidP="00EB6639">
            <w:pPr>
              <w:spacing w:before="240" w:after="120"/>
              <w:jc w:val="both"/>
              <w:rPr>
                <w:rFonts w:ascii="Times New Roman" w:hAnsi="Times New Roman" w:cs="Times New Roman"/>
                <w:b/>
                <w:bCs/>
                <w:sz w:val="20"/>
                <w:szCs w:val="20"/>
              </w:rPr>
            </w:pPr>
          </w:p>
        </w:tc>
        <w:tc>
          <w:tcPr>
            <w:tcW w:w="967" w:type="dxa"/>
          </w:tcPr>
          <w:p w14:paraId="28897555" w14:textId="77777777" w:rsidR="00A3140A" w:rsidRPr="00EB6639" w:rsidRDefault="00A3140A" w:rsidP="00EB6639">
            <w:pPr>
              <w:spacing w:before="240" w:after="120"/>
              <w:jc w:val="both"/>
              <w:rPr>
                <w:rFonts w:ascii="Times New Roman" w:hAnsi="Times New Roman" w:cs="Times New Roman"/>
                <w:b/>
                <w:bCs/>
                <w:sz w:val="20"/>
                <w:szCs w:val="20"/>
              </w:rPr>
            </w:pPr>
          </w:p>
        </w:tc>
      </w:tr>
      <w:tr w:rsidR="00A3140A" w:rsidRPr="00EB6639" w14:paraId="1B5AB72B" w14:textId="77777777" w:rsidTr="00E72C1E">
        <w:tc>
          <w:tcPr>
            <w:tcW w:w="3116" w:type="dxa"/>
          </w:tcPr>
          <w:p w14:paraId="57AFDA6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First-time</w:t>
            </w:r>
          </w:p>
        </w:tc>
        <w:tc>
          <w:tcPr>
            <w:tcW w:w="1294" w:type="dxa"/>
          </w:tcPr>
          <w:p w14:paraId="105AFB1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50</w:t>
            </w:r>
          </w:p>
        </w:tc>
        <w:tc>
          <w:tcPr>
            <w:tcW w:w="967" w:type="dxa"/>
          </w:tcPr>
          <w:p w14:paraId="0D5F480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13.6</w:t>
            </w:r>
          </w:p>
        </w:tc>
      </w:tr>
      <w:tr w:rsidR="00A3140A" w:rsidRPr="00EB6639" w14:paraId="22615033" w14:textId="77777777" w:rsidTr="00E72C1E">
        <w:tc>
          <w:tcPr>
            <w:tcW w:w="3116" w:type="dxa"/>
          </w:tcPr>
          <w:p w14:paraId="0231ADD0"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Repeat</w:t>
            </w:r>
          </w:p>
        </w:tc>
        <w:tc>
          <w:tcPr>
            <w:tcW w:w="1294" w:type="dxa"/>
          </w:tcPr>
          <w:p w14:paraId="46E5B91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319</w:t>
            </w:r>
          </w:p>
        </w:tc>
        <w:tc>
          <w:tcPr>
            <w:tcW w:w="967" w:type="dxa"/>
          </w:tcPr>
          <w:p w14:paraId="75FA677E"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86.4</w:t>
            </w:r>
          </w:p>
        </w:tc>
      </w:tr>
    </w:tbl>
    <w:p w14:paraId="0A4E7F16" w14:textId="56DB79E9" w:rsidR="00A3140A" w:rsidRPr="00EB6639" w:rsidRDefault="00A3140A" w:rsidP="00EB6639">
      <w:pPr>
        <w:spacing w:before="240" w:after="120" w:line="240" w:lineRule="auto"/>
        <w:jc w:val="both"/>
        <w:rPr>
          <w:rFonts w:cs="Times New Roman"/>
          <w:sz w:val="20"/>
          <w:szCs w:val="20"/>
        </w:rPr>
      </w:pPr>
      <w:r w:rsidRPr="00EB6639">
        <w:rPr>
          <w:rFonts w:cs="Times New Roman"/>
          <w:i/>
          <w:iCs/>
          <w:sz w:val="20"/>
          <w:szCs w:val="20"/>
        </w:rPr>
        <w:t>Source:</w:t>
      </w:r>
      <w:r w:rsidRPr="00EB6639">
        <w:rPr>
          <w:rFonts w:cs="Times New Roman"/>
          <w:sz w:val="20"/>
          <w:szCs w:val="20"/>
        </w:rPr>
        <w:t xml:space="preserve"> Authors’ survey data</w:t>
      </w:r>
    </w:p>
    <w:p w14:paraId="193DF5EC" w14:textId="77777777" w:rsidR="00E72C1E" w:rsidRDefault="00E72C1E" w:rsidP="00FE198B">
      <w:pPr>
        <w:pStyle w:val="Heading2"/>
        <w:sectPr w:rsidR="00E72C1E" w:rsidSect="00E72C1E">
          <w:type w:val="continuous"/>
          <w:pgSz w:w="12240" w:h="15840"/>
          <w:pgMar w:top="1134" w:right="1134" w:bottom="1134" w:left="1418" w:header="720" w:footer="720" w:gutter="0"/>
          <w:cols w:space="720"/>
          <w:docGrid w:linePitch="360"/>
        </w:sectPr>
      </w:pPr>
    </w:p>
    <w:p w14:paraId="006E1835" w14:textId="73E9D87B" w:rsidR="00A3140A" w:rsidRPr="00A47525" w:rsidRDefault="00AF56B0" w:rsidP="00FE198B">
      <w:pPr>
        <w:pStyle w:val="Heading2"/>
      </w:pPr>
      <w:r>
        <w:t xml:space="preserve">4.2. </w:t>
      </w:r>
      <w:r w:rsidR="00A3140A" w:rsidRPr="00A47525">
        <w:t>Outliers, Normality</w:t>
      </w:r>
      <w:r w:rsidR="00EB6639">
        <w:t>,</w:t>
      </w:r>
      <w:r w:rsidR="00A3140A" w:rsidRPr="00A47525">
        <w:t xml:space="preserve"> and Reliability A</w:t>
      </w:r>
      <w:bookmarkStart w:id="1" w:name="_Hlk217126912"/>
      <w:r w:rsidR="00A3140A" w:rsidRPr="00A47525">
        <w:t>nalysis</w:t>
      </w:r>
    </w:p>
    <w:p w14:paraId="1AA358FC" w14:textId="749ECDFF" w:rsidR="00A3140A" w:rsidRPr="00025D68" w:rsidRDefault="00A3140A" w:rsidP="00A47525">
      <w:pPr>
        <w:spacing w:before="120" w:after="120" w:line="240" w:lineRule="auto"/>
        <w:ind w:firstLine="720"/>
        <w:jc w:val="both"/>
        <w:rPr>
          <w:rFonts w:cs="Times New Roman"/>
          <w:sz w:val="22"/>
        </w:rPr>
      </w:pPr>
      <w:r w:rsidRPr="00A47525">
        <w:rPr>
          <w:rFonts w:cs="Times New Roman"/>
          <w:sz w:val="22"/>
        </w:rPr>
        <w:t>Assessing outliers is an important step in data screening, as extreme values can distort statistical results. Univariate outliers were examined using Z-scores with a cutoff value of |Z| &gt; 3.29</w:t>
      </w:r>
      <w:r w:rsidR="00607784">
        <w:rPr>
          <w:rFonts w:cs="Times New Roman"/>
          <w:sz w:val="22"/>
        </w:rPr>
        <w:t xml:space="preserve"> [4</w:t>
      </w:r>
      <w:r w:rsidR="00007D1E">
        <w:rPr>
          <w:rFonts w:cs="Times New Roman"/>
          <w:sz w:val="22"/>
        </w:rPr>
        <w:t>4</w:t>
      </w:r>
      <w:r w:rsidR="00607784">
        <w:rPr>
          <w:rFonts w:cs="Times New Roman"/>
          <w:sz w:val="22"/>
        </w:rPr>
        <w:t>]</w:t>
      </w:r>
      <w:r w:rsidR="00FF5A55">
        <w:rPr>
          <w:rFonts w:cs="Times New Roman"/>
          <w:sz w:val="22"/>
        </w:rPr>
        <w:t xml:space="preserve">. </w:t>
      </w:r>
      <w:r w:rsidRPr="00A47525">
        <w:rPr>
          <w:rFonts w:cs="Times New Roman"/>
          <w:sz w:val="22"/>
        </w:rPr>
        <w:t>The results showed that all Z-scores were below 3.29, indicating the absence of univariate outliers in the dataset. In addition, the Harman single-factor test indicated the absence of substantial common method bias, with the first factor accounting for 27.662% of total variance (&lt;50%). Skewness and kurtosis values were examined to check the distribution of the data. Skewness ranged from −1.397 to −0.149</w:t>
      </w:r>
      <w:r w:rsidR="00025D68">
        <w:rPr>
          <w:rFonts w:cs="Times New Roman"/>
          <w:sz w:val="22"/>
        </w:rPr>
        <w:t>,</w:t>
      </w:r>
      <w:r w:rsidRPr="00A47525">
        <w:rPr>
          <w:rFonts w:cs="Times New Roman"/>
          <w:sz w:val="22"/>
        </w:rPr>
        <w:t xml:space="preserve"> and kurtosis ranged from −0.427 to 2.413, all of which were within acceptable limits for social science research (|skewness| &lt; 3; |kurtosis| &lt; 10)</w:t>
      </w:r>
      <w:r w:rsidR="00607784">
        <w:rPr>
          <w:rFonts w:cs="Times New Roman"/>
          <w:sz w:val="22"/>
        </w:rPr>
        <w:t xml:space="preserve"> [4</w:t>
      </w:r>
      <w:r w:rsidR="00007D1E">
        <w:rPr>
          <w:rFonts w:cs="Times New Roman"/>
          <w:sz w:val="22"/>
        </w:rPr>
        <w:t>5</w:t>
      </w:r>
      <w:r w:rsidR="00607784">
        <w:rPr>
          <w:rFonts w:cs="Times New Roman"/>
          <w:sz w:val="22"/>
        </w:rPr>
        <w:t>]</w:t>
      </w:r>
      <w:r w:rsidRPr="00A47525">
        <w:rPr>
          <w:rFonts w:cs="Times New Roman"/>
          <w:sz w:val="22"/>
        </w:rPr>
        <w:t>. Means ranged from 4.70 to 5.63 with standard deviations between 1.305 and 1.704, suggesting favorable evaluations and moderate variability. Cronbach’s alpha values ranged from 0.750 to 0.954, exceeding the 0.70 benchmark</w:t>
      </w:r>
      <w:r w:rsidR="00607784">
        <w:rPr>
          <w:rFonts w:cs="Times New Roman"/>
          <w:sz w:val="22"/>
        </w:rPr>
        <w:t xml:space="preserve"> ơ42]</w:t>
      </w:r>
      <w:r w:rsidR="00025D68">
        <w:rPr>
          <w:rFonts w:cs="Times New Roman"/>
          <w:sz w:val="22"/>
        </w:rPr>
        <w:t xml:space="preserve">. </w:t>
      </w:r>
      <w:r w:rsidRPr="00025D68">
        <w:rPr>
          <w:rFonts w:cs="Times New Roman"/>
          <w:sz w:val="22"/>
        </w:rPr>
        <w:t>Internal</w:t>
      </w:r>
      <w:r w:rsidRPr="00A47525">
        <w:rPr>
          <w:rFonts w:cs="Times New Roman"/>
          <w:sz w:val="22"/>
        </w:rPr>
        <w:t xml:space="preserve"> consistency reliability was evaluated using Cronbach’s alpha, </w:t>
      </w:r>
      <w:r w:rsidR="00607784">
        <w:rPr>
          <w:rFonts w:cs="Times New Roman"/>
          <w:sz w:val="22"/>
        </w:rPr>
        <w:t>surpassing</w:t>
      </w:r>
      <w:r w:rsidR="00607784" w:rsidRPr="00A47525">
        <w:rPr>
          <w:rFonts w:cs="Times New Roman"/>
          <w:sz w:val="22"/>
        </w:rPr>
        <w:t xml:space="preserve"> </w:t>
      </w:r>
      <w:r w:rsidRPr="00A47525">
        <w:rPr>
          <w:rFonts w:cs="Times New Roman"/>
          <w:sz w:val="22"/>
        </w:rPr>
        <w:t>the recommended minimum threshold of 0.70</w:t>
      </w:r>
      <w:bookmarkEnd w:id="1"/>
      <w:r w:rsidR="00607784">
        <w:rPr>
          <w:rFonts w:cs="Times New Roman"/>
          <w:sz w:val="22"/>
        </w:rPr>
        <w:t xml:space="preserve"> [42]</w:t>
      </w:r>
      <w:r w:rsidR="00025D68">
        <w:rPr>
          <w:rFonts w:cs="Times New Roman"/>
          <w:sz w:val="22"/>
        </w:rPr>
        <w:t>.</w:t>
      </w:r>
    </w:p>
    <w:p w14:paraId="07998A14" w14:textId="1D6FA1F2" w:rsidR="00A3140A" w:rsidRPr="00A47525" w:rsidRDefault="00AF56B0" w:rsidP="00FE198B">
      <w:pPr>
        <w:pStyle w:val="Heading2"/>
      </w:pPr>
      <w:r>
        <w:t xml:space="preserve">4.3. </w:t>
      </w:r>
      <w:r w:rsidR="00A3140A" w:rsidRPr="00A47525">
        <w:t>Exploratory Factor Analysis (EFA)</w:t>
      </w:r>
    </w:p>
    <w:p w14:paraId="0AC2B544" w14:textId="7FE215CE" w:rsidR="00A3140A" w:rsidRPr="00A47525" w:rsidRDefault="00A3140A" w:rsidP="00A47525">
      <w:pPr>
        <w:spacing w:before="120" w:after="120" w:line="240" w:lineRule="auto"/>
        <w:ind w:firstLine="720"/>
        <w:jc w:val="both"/>
        <w:rPr>
          <w:rFonts w:cs="Times New Roman"/>
          <w:sz w:val="22"/>
        </w:rPr>
      </w:pPr>
      <w:bookmarkStart w:id="2" w:name="_Hlk217288179"/>
      <w:r w:rsidRPr="00A47525">
        <w:rPr>
          <w:rFonts w:cs="Times New Roman"/>
          <w:sz w:val="22"/>
        </w:rPr>
        <w:t>Although the scales were drawn from prior studies, EFA was conducted to assess factor structure in the Vietnamese context and to remove problematic items before CFA. EFA results for the eight independent variables showed KMO = 0.835(&gt; 0.5), Sig = 0.000 (&lt; 0.05), confirming data suitability for factor analysis. Eight factors were extracted from 30 observed variables at Eigenvalues = 1.267</w:t>
      </w:r>
      <w:r w:rsidR="00D861FD" w:rsidRPr="00A47525">
        <w:rPr>
          <w:rFonts w:cs="Times New Roman"/>
          <w:sz w:val="22"/>
        </w:rPr>
        <w:t xml:space="preserve">, </w:t>
      </w:r>
      <w:r w:rsidRPr="00A47525">
        <w:rPr>
          <w:rFonts w:cs="Times New Roman"/>
          <w:sz w:val="22"/>
        </w:rPr>
        <w:t xml:space="preserve">explaining a total of 78.104% of the variance. Thus, the eight extracted factors </w:t>
      </w:r>
      <w:r w:rsidR="00EB6639">
        <w:rPr>
          <w:rFonts w:cs="Times New Roman"/>
          <w:sz w:val="22"/>
        </w:rPr>
        <w:t>accounted for 78.104% of the total variance in</w:t>
      </w:r>
      <w:r w:rsidRPr="00A47525">
        <w:rPr>
          <w:rFonts w:cs="Times New Roman"/>
          <w:sz w:val="22"/>
        </w:rPr>
        <w:t xml:space="preserve"> the data, </w:t>
      </w:r>
      <w:r w:rsidR="00D861FD" w:rsidRPr="00A47525">
        <w:rPr>
          <w:rFonts w:cs="Times New Roman"/>
          <w:sz w:val="22"/>
        </w:rPr>
        <w:t>derived</w:t>
      </w:r>
      <w:r w:rsidRPr="00A47525">
        <w:rPr>
          <w:rFonts w:cs="Times New Roman"/>
          <w:sz w:val="22"/>
        </w:rPr>
        <w:t xml:space="preserve"> from the 30 observed variables included in the EFA.</w:t>
      </w:r>
      <w:r w:rsidR="00EB6639">
        <w:rPr>
          <w:rFonts w:cs="Times New Roman"/>
          <w:sz w:val="22"/>
        </w:rPr>
        <w:t xml:space="preserve"> </w:t>
      </w:r>
      <w:r w:rsidRPr="00A47525">
        <w:rPr>
          <w:rFonts w:cs="Times New Roman"/>
          <w:sz w:val="22"/>
        </w:rPr>
        <w:t xml:space="preserve">For the dependent variable GBI, </w:t>
      </w:r>
      <w:r w:rsidR="00D861FD" w:rsidRPr="00A47525">
        <w:rPr>
          <w:rFonts w:cs="Times New Roman"/>
          <w:sz w:val="22"/>
        </w:rPr>
        <w:t xml:space="preserve">the </w:t>
      </w:r>
      <w:r w:rsidRPr="00A47525">
        <w:rPr>
          <w:rFonts w:cs="Times New Roman"/>
          <w:sz w:val="22"/>
        </w:rPr>
        <w:t xml:space="preserve">KMO value was 0.708 (&gt; 0.5), </w:t>
      </w:r>
      <w:r w:rsidR="00D861FD" w:rsidRPr="00A47525">
        <w:rPr>
          <w:rFonts w:cs="Times New Roman"/>
          <w:sz w:val="22"/>
        </w:rPr>
        <w:t xml:space="preserve">and </w:t>
      </w:r>
      <w:r w:rsidRPr="00A47525">
        <w:rPr>
          <w:rFonts w:cs="Times New Roman"/>
          <w:sz w:val="22"/>
        </w:rPr>
        <w:t xml:space="preserve">Bartlett’s test was significant (χ²= 467.909, p &lt; 0.001). A single factor emerged with an </w:t>
      </w:r>
      <w:r w:rsidR="00D861FD" w:rsidRPr="00A47525">
        <w:rPr>
          <w:rFonts w:cs="Times New Roman"/>
          <w:sz w:val="22"/>
        </w:rPr>
        <w:t>eigenvalue</w:t>
      </w:r>
      <w:r w:rsidRPr="00A47525">
        <w:rPr>
          <w:rFonts w:cs="Times New Roman"/>
          <w:sz w:val="22"/>
        </w:rPr>
        <w:t xml:space="preserve"> of 2.279, and </w:t>
      </w:r>
      <w:r w:rsidR="00D861FD" w:rsidRPr="00A47525">
        <w:rPr>
          <w:rFonts w:cs="Times New Roman"/>
          <w:sz w:val="22"/>
        </w:rPr>
        <w:t xml:space="preserve">the </w:t>
      </w:r>
      <w:r w:rsidRPr="00A47525">
        <w:rPr>
          <w:rFonts w:cs="Times New Roman"/>
          <w:sz w:val="22"/>
        </w:rPr>
        <w:t xml:space="preserve">total variance explained was 75.954%. This factor </w:t>
      </w:r>
      <w:r w:rsidR="00EB6639">
        <w:rPr>
          <w:rFonts w:cs="Times New Roman"/>
          <w:sz w:val="22"/>
        </w:rPr>
        <w:t>accounted for 75.954% of the total variance in the data across</w:t>
      </w:r>
      <w:r w:rsidRPr="00A47525">
        <w:rPr>
          <w:rFonts w:cs="Times New Roman"/>
          <w:sz w:val="22"/>
        </w:rPr>
        <w:t xml:space="preserve"> the three observed variables included in the EFA. </w:t>
      </w:r>
    </w:p>
    <w:bookmarkEnd w:id="2"/>
    <w:p w14:paraId="6ABC63F7" w14:textId="7243FE17" w:rsidR="00A3140A" w:rsidRPr="00A47525" w:rsidRDefault="00AF56B0" w:rsidP="00FE198B">
      <w:pPr>
        <w:pStyle w:val="Heading2"/>
      </w:pPr>
      <w:r>
        <w:t xml:space="preserve">4.4. </w:t>
      </w:r>
      <w:r w:rsidR="00A3140A" w:rsidRPr="00A47525">
        <w:t>Measurement model</w:t>
      </w:r>
    </w:p>
    <w:p w14:paraId="5853D817" w14:textId="78EB1F16" w:rsidR="00A3140A" w:rsidRPr="00A47525" w:rsidRDefault="00A3140A" w:rsidP="00A47525">
      <w:pPr>
        <w:spacing w:before="120" w:after="120" w:line="240" w:lineRule="auto"/>
        <w:ind w:firstLine="720"/>
        <w:jc w:val="both"/>
        <w:rPr>
          <w:rFonts w:cs="Times New Roman"/>
          <w:sz w:val="22"/>
        </w:rPr>
      </w:pPr>
      <w:bookmarkStart w:id="3" w:name="_Hlk217288541"/>
      <w:r w:rsidRPr="00A47525">
        <w:rPr>
          <w:rFonts w:cs="Times New Roman"/>
          <w:sz w:val="22"/>
          <w:lang w:eastAsia="ja-JP"/>
        </w:rPr>
        <w:t>CFA was conducted to evaluate model fit. The initial CFA results indicated satisfactory fit indices: P = 0.000 (&lt; 0.005); CMIN/df = 2.700; TLI = 0.908; CFI = 0.920; RMSEA = 0.068, all within acceptable thresholds</w:t>
      </w:r>
      <w:r w:rsidR="00025D68">
        <w:rPr>
          <w:rFonts w:cs="Times New Roman"/>
          <w:sz w:val="22"/>
          <w:lang w:eastAsia="ja-JP"/>
        </w:rPr>
        <w:t xml:space="preserve"> </w:t>
      </w:r>
      <w:r w:rsidR="00025D68" w:rsidRPr="00025D68">
        <w:rPr>
          <w:rFonts w:cs="Times New Roman"/>
          <w:sz w:val="22"/>
          <w:lang w:eastAsia="ja-JP"/>
        </w:rPr>
        <w:t>42</w:t>
      </w:r>
      <w:r w:rsidR="00025D68">
        <w:rPr>
          <w:rFonts w:cs="Times New Roman"/>
          <w:sz w:val="22"/>
          <w:lang w:eastAsia="ja-JP"/>
        </w:rPr>
        <w:t xml:space="preserve">. </w:t>
      </w:r>
      <w:r w:rsidRPr="00025D68">
        <w:rPr>
          <w:rFonts w:cs="Times New Roman"/>
          <w:sz w:val="22"/>
        </w:rPr>
        <w:t>Although</w:t>
      </w:r>
      <w:r w:rsidRPr="00A47525">
        <w:rPr>
          <w:rFonts w:cs="Times New Roman"/>
          <w:sz w:val="22"/>
        </w:rPr>
        <w:t xml:space="preserve"> the initial CFA indicated acceptable model fit, the standardized factor loading of item MEA1 was 0.482</w:t>
      </w:r>
      <w:r w:rsidR="00EB6639">
        <w:rPr>
          <w:rFonts w:cs="Times New Roman"/>
          <w:sz w:val="22"/>
        </w:rPr>
        <w:t>, which</w:t>
      </w:r>
      <w:r w:rsidRPr="00A47525">
        <w:rPr>
          <w:rFonts w:cs="Times New Roman"/>
          <w:sz w:val="22"/>
        </w:rPr>
        <w:t xml:space="preserve"> was below the recommended threshold of 0.50. Therefore, MEA1 was removed from the model, and CFA was re-estimated. The revised measurement model demonstrated an acceptable level of fit (</w:t>
      </w:r>
      <w:r w:rsidRPr="00A47525">
        <w:rPr>
          <w:rStyle w:val="Strong"/>
          <w:rFonts w:cs="Times New Roman"/>
          <w:sz w:val="22"/>
        </w:rPr>
        <w:t>Figure 1</w:t>
      </w:r>
      <w:r w:rsidRPr="00A47525">
        <w:rPr>
          <w:rFonts w:cs="Times New Roman"/>
          <w:sz w:val="22"/>
        </w:rPr>
        <w:t>).</w:t>
      </w:r>
    </w:p>
    <w:p w14:paraId="78B711DD" w14:textId="77777777" w:rsidR="00E72C1E" w:rsidRDefault="00E72C1E" w:rsidP="00E72C1E">
      <w:pPr>
        <w:spacing w:before="120" w:after="240" w:line="240" w:lineRule="auto"/>
        <w:ind w:firstLine="720"/>
        <w:jc w:val="both"/>
        <w:rPr>
          <w:rFonts w:cs="Times New Roman"/>
          <w:sz w:val="22"/>
          <w:lang w:eastAsia="ja-JP"/>
        </w:rPr>
        <w:sectPr w:rsidR="00E72C1E" w:rsidSect="00E72C1E">
          <w:type w:val="continuous"/>
          <w:pgSz w:w="12240" w:h="15840"/>
          <w:pgMar w:top="1134" w:right="1134" w:bottom="1134" w:left="1418" w:header="720" w:footer="720" w:gutter="0"/>
          <w:cols w:num="2" w:space="720"/>
          <w:docGrid w:linePitch="360"/>
        </w:sectPr>
      </w:pPr>
    </w:p>
    <w:p w14:paraId="2395DC19" w14:textId="79101308" w:rsidR="00A3140A" w:rsidRPr="00A47525" w:rsidRDefault="00A3140A" w:rsidP="00E72C1E">
      <w:pPr>
        <w:spacing w:before="120" w:after="240" w:line="240" w:lineRule="auto"/>
        <w:ind w:firstLine="720"/>
        <w:jc w:val="both"/>
        <w:rPr>
          <w:rFonts w:cs="Times New Roman"/>
          <w:sz w:val="22"/>
          <w:lang w:eastAsia="ja-JP"/>
        </w:rPr>
      </w:pPr>
      <w:r w:rsidRPr="00A47525">
        <w:rPr>
          <w:rFonts w:cs="Times New Roman"/>
          <w:noProof/>
          <w:sz w:val="22"/>
          <w14:ligatures w14:val="standardContextual"/>
        </w:rPr>
        <w:drawing>
          <wp:inline distT="0" distB="0" distL="0" distR="0" wp14:anchorId="4B6E3E32" wp14:editId="0FC8CE6C">
            <wp:extent cx="5677592" cy="40167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83251" cy="4020778"/>
                    </a:xfrm>
                    <a:prstGeom prst="rect">
                      <a:avLst/>
                    </a:prstGeom>
                  </pic:spPr>
                </pic:pic>
              </a:graphicData>
            </a:graphic>
          </wp:inline>
        </w:drawing>
      </w:r>
    </w:p>
    <w:p w14:paraId="47297A95" w14:textId="1EF8F089" w:rsidR="00A3140A" w:rsidRPr="00EB6639" w:rsidRDefault="00A3140A" w:rsidP="00A47525">
      <w:pPr>
        <w:pStyle w:val="NormalWeb"/>
        <w:spacing w:before="120" w:beforeAutospacing="0" w:after="120" w:afterAutospacing="0"/>
        <w:ind w:firstLine="720"/>
        <w:jc w:val="center"/>
        <w:rPr>
          <w:sz w:val="20"/>
          <w:szCs w:val="20"/>
        </w:rPr>
      </w:pPr>
      <w:r w:rsidRPr="00EB6639">
        <w:rPr>
          <w:rStyle w:val="Strong"/>
          <w:rFonts w:eastAsiaTheme="majorEastAsia"/>
          <w:sz w:val="20"/>
          <w:szCs w:val="20"/>
        </w:rPr>
        <w:t>Figure 1</w:t>
      </w:r>
      <w:r w:rsidR="00E72C1E" w:rsidRPr="00EB6639">
        <w:rPr>
          <w:rStyle w:val="Strong"/>
          <w:rFonts w:eastAsiaTheme="majorEastAsia"/>
          <w:sz w:val="20"/>
          <w:szCs w:val="20"/>
        </w:rPr>
        <w:t xml:space="preserve">. </w:t>
      </w:r>
      <w:r w:rsidRPr="00EB6639">
        <w:rPr>
          <w:rStyle w:val="Strong"/>
          <w:rFonts w:eastAsiaTheme="majorEastAsia"/>
          <w:b w:val="0"/>
          <w:sz w:val="20"/>
          <w:szCs w:val="20"/>
        </w:rPr>
        <w:t>CFA Testing</w:t>
      </w:r>
    </w:p>
    <w:p w14:paraId="708418D4" w14:textId="77777777" w:rsidR="00E72C1E" w:rsidRDefault="00E72C1E" w:rsidP="00B011E4">
      <w:pPr>
        <w:spacing w:before="120" w:after="120" w:line="240" w:lineRule="auto"/>
        <w:ind w:firstLine="720"/>
        <w:jc w:val="both"/>
        <w:rPr>
          <w:rFonts w:cs="Times New Roman"/>
          <w:sz w:val="22"/>
        </w:rPr>
        <w:sectPr w:rsidR="00E72C1E" w:rsidSect="00E72C1E">
          <w:type w:val="continuous"/>
          <w:pgSz w:w="12240" w:h="15840"/>
          <w:pgMar w:top="1134" w:right="1134" w:bottom="1134" w:left="1418" w:header="720" w:footer="720" w:gutter="0"/>
          <w:cols w:space="720"/>
          <w:docGrid w:linePitch="360"/>
        </w:sectPr>
      </w:pPr>
    </w:p>
    <w:p w14:paraId="32AF1143" w14:textId="22354426" w:rsidR="00A3140A" w:rsidRPr="00B011E4" w:rsidRDefault="00A3140A" w:rsidP="00B011E4">
      <w:pPr>
        <w:spacing w:before="120" w:after="120" w:line="240" w:lineRule="auto"/>
        <w:ind w:firstLine="720"/>
        <w:jc w:val="both"/>
        <w:rPr>
          <w:rFonts w:cs="Times New Roman"/>
          <w:color w:val="FF0000"/>
          <w:sz w:val="22"/>
        </w:rPr>
      </w:pPr>
      <w:r w:rsidRPr="00A47525">
        <w:rPr>
          <w:rFonts w:cs="Times New Roman"/>
          <w:sz w:val="22"/>
        </w:rPr>
        <w:t>Convergent validity was supported as all constructs achieved CR values greater than 0.70 and AVE values above 0.50, and the majority of standardized factor loadings exceeded 0.70. Nine constructs had composite reliability (CR) values above 0.754: hedonism = 0.839; novelty = 0.953; local cuture = 0.953; refreshment = 0.901; meaningfulnes = 0.899; involvement = 0.845; knowledge = 0.754; place attachment = 0.955; green behavior intention = 0.846. All results exceedes the recommended cutoff value of 0.70, demonstrating satisfactory internal consistency. Furthermore, the AVE values ranged from 0.509 to 0.872. All constructs achieved AVE values above the recommended threshold of 0.50</w:t>
      </w:r>
      <w:r w:rsidR="00607784">
        <w:rPr>
          <w:rFonts w:cs="Times New Roman"/>
          <w:sz w:val="22"/>
        </w:rPr>
        <w:t xml:space="preserve"> [40]</w:t>
      </w:r>
      <w:r w:rsidRPr="00A47525">
        <w:rPr>
          <w:rFonts w:cs="Times New Roman"/>
          <w:sz w:val="22"/>
        </w:rPr>
        <w:t>. These results collectively indicate that the measurement model achieved adequate convergent validity. In addition, the standardized loadings reported in the AMOS output showed that the majority of items loaded substantially on their intended constructs, with most loading values exceeding the recommended threshold of 0.70. Specifically, 28 items had standardized loadings above 0.70, while only four items (HE3 = .691; RE3 = .638; INV1 = .525; KNO3 = .599) fell below 0.70 but remained above the minimum acceptable level of 0.50, and were therefore retained</w:t>
      </w:r>
      <w:r w:rsidR="00607784">
        <w:rPr>
          <w:rFonts w:cs="Times New Roman"/>
          <w:sz w:val="22"/>
        </w:rPr>
        <w:t xml:space="preserve"> [42]</w:t>
      </w:r>
      <w:r w:rsidR="00025D68">
        <w:rPr>
          <w:rFonts w:cs="Times New Roman"/>
          <w:sz w:val="22"/>
        </w:rPr>
        <w:t>.</w:t>
      </w:r>
      <w:r w:rsidR="00B011E4">
        <w:rPr>
          <w:rFonts w:cs="Times New Roman"/>
          <w:color w:val="FF0000"/>
          <w:sz w:val="22"/>
        </w:rPr>
        <w:t xml:space="preserve"> </w:t>
      </w:r>
      <w:r w:rsidRPr="00A47525">
        <w:rPr>
          <w:rFonts w:cs="Times New Roman"/>
          <w:sz w:val="22"/>
        </w:rPr>
        <w:t xml:space="preserve">According to </w:t>
      </w:r>
      <w:r w:rsidRPr="00A47525">
        <w:rPr>
          <w:rFonts w:cs="Times New Roman"/>
          <w:sz w:val="22"/>
        </w:rPr>
        <w:fldChar w:fldCharType="begin"/>
      </w:r>
      <w:r w:rsidRPr="00A47525">
        <w:rPr>
          <w:rFonts w:cs="Times New Roman"/>
          <w:sz w:val="22"/>
        </w:rPr>
        <w:instrText xml:space="preserve"> ADDIN EN.CITE &lt;EndNote&gt;&lt;Cite AuthorYear="1"&gt;&lt;Author&gt;Fornell&lt;/Author&gt;&lt;Year&gt;1981&lt;/Year&gt;&lt;RecNum&gt;487&lt;/RecNum&gt;&lt;DisplayText&gt;Fornell &amp;amp; Larcker (1981)&lt;/DisplayText&gt;&lt;record&gt;&lt;rec-number&gt;487&lt;/rec-number&gt;&lt;foreign-keys&gt;&lt;key app="EN" db-id="r5detz2wlzrsf3efaavvr2amaatxwtvv05ss" timestamp="1747196579"&gt;487&lt;/key&gt;&lt;/foreign-keys&gt;&lt;ref-type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electronic-resource-num&gt;10.1177/002224378101800104&lt;/electronic-resource-num&gt;&lt;/record&gt;&lt;/Cite&gt;&lt;/EndNote&gt;</w:instrText>
      </w:r>
      <w:r w:rsidRPr="00A47525">
        <w:rPr>
          <w:rFonts w:cs="Times New Roman"/>
          <w:sz w:val="22"/>
        </w:rPr>
        <w:fldChar w:fldCharType="separate"/>
      </w:r>
      <w:r w:rsidRPr="00A47525">
        <w:rPr>
          <w:rFonts w:cs="Times New Roman"/>
          <w:noProof/>
          <w:sz w:val="22"/>
        </w:rPr>
        <w:t>Fornell &amp; Larcker</w:t>
      </w:r>
      <w:r w:rsidR="00607784">
        <w:rPr>
          <w:rFonts w:cs="Times New Roman"/>
          <w:noProof/>
          <w:sz w:val="22"/>
        </w:rPr>
        <w:t xml:space="preserve"> [40]</w:t>
      </w:r>
      <w:r w:rsidRPr="00A47525">
        <w:rPr>
          <w:rFonts w:cs="Times New Roman"/>
          <w:sz w:val="22"/>
        </w:rPr>
        <w:fldChar w:fldCharType="end"/>
      </w:r>
      <w:r w:rsidRPr="00A47525">
        <w:rPr>
          <w:rFonts w:cs="Times New Roman"/>
          <w:sz w:val="22"/>
        </w:rPr>
        <w:t xml:space="preserve">, discriminant validity was evaluated by comparing the AVE of each construct with the maximum shared variance (MSV) and the squared inter-construct correlations. For all constructs, the AVE values exceeded the corresponding MSV values, and the square roots of AVE were greater than the inter-construct correlation coefficients, thereby confirming adequate discriminant validity (Table 3). </w:t>
      </w:r>
    </w:p>
    <w:bookmarkEnd w:id="3"/>
    <w:p w14:paraId="6348130F" w14:textId="77777777" w:rsidR="00E72C1E" w:rsidRDefault="00E72C1E" w:rsidP="00A47525">
      <w:pPr>
        <w:spacing w:before="120" w:after="120" w:line="240" w:lineRule="auto"/>
        <w:jc w:val="both"/>
        <w:rPr>
          <w:rFonts w:cs="Times New Roman"/>
          <w:b/>
          <w:bCs/>
          <w:sz w:val="22"/>
        </w:rPr>
        <w:sectPr w:rsidR="00E72C1E" w:rsidSect="00E72C1E">
          <w:type w:val="continuous"/>
          <w:pgSz w:w="12240" w:h="15840"/>
          <w:pgMar w:top="1134" w:right="1134" w:bottom="1134" w:left="1418" w:header="720" w:footer="720" w:gutter="0"/>
          <w:cols w:num="2" w:space="720"/>
          <w:docGrid w:linePitch="360"/>
        </w:sectPr>
      </w:pPr>
    </w:p>
    <w:p w14:paraId="0E80AE74" w14:textId="16B9719B" w:rsidR="00A3140A" w:rsidRPr="00EB6639" w:rsidRDefault="00A3140A" w:rsidP="00EB6639">
      <w:pPr>
        <w:spacing w:before="240" w:after="120" w:line="240" w:lineRule="auto"/>
        <w:jc w:val="both"/>
        <w:rPr>
          <w:rFonts w:cs="Times New Roman"/>
          <w:b/>
          <w:bCs/>
          <w:sz w:val="20"/>
          <w:szCs w:val="20"/>
        </w:rPr>
      </w:pPr>
      <w:r w:rsidRPr="00EB6639">
        <w:rPr>
          <w:rFonts w:cs="Times New Roman"/>
          <w:b/>
          <w:bCs/>
          <w:sz w:val="20"/>
          <w:szCs w:val="20"/>
        </w:rPr>
        <w:t>Table 3</w:t>
      </w:r>
      <w:r w:rsidR="00E72C1E" w:rsidRPr="00EB6639">
        <w:rPr>
          <w:rFonts w:cs="Times New Roman"/>
          <w:b/>
          <w:bCs/>
          <w:sz w:val="20"/>
          <w:szCs w:val="20"/>
        </w:rPr>
        <w:t xml:space="preserve">. </w:t>
      </w:r>
      <w:r w:rsidRPr="00EB6639">
        <w:rPr>
          <w:rFonts w:cs="Times New Roman"/>
          <w:sz w:val="20"/>
          <w:szCs w:val="20"/>
        </w:rPr>
        <w:t>Correlation matrix</w:t>
      </w:r>
    </w:p>
    <w:tbl>
      <w:tblPr>
        <w:tblStyle w:val="TableGrid"/>
        <w:tblW w:w="9522" w:type="dxa"/>
        <w:tblLook w:val="04A0" w:firstRow="1" w:lastRow="0" w:firstColumn="1" w:lastColumn="0" w:noHBand="0" w:noVBand="1"/>
      </w:tblPr>
      <w:tblGrid>
        <w:gridCol w:w="1080"/>
        <w:gridCol w:w="810"/>
        <w:gridCol w:w="810"/>
        <w:gridCol w:w="804"/>
        <w:gridCol w:w="726"/>
        <w:gridCol w:w="732"/>
        <w:gridCol w:w="713"/>
        <w:gridCol w:w="47"/>
        <w:gridCol w:w="902"/>
        <w:gridCol w:w="740"/>
        <w:gridCol w:w="7"/>
        <w:gridCol w:w="659"/>
        <w:gridCol w:w="6"/>
        <w:gridCol w:w="736"/>
        <w:gridCol w:w="7"/>
        <w:gridCol w:w="736"/>
        <w:gridCol w:w="7"/>
      </w:tblGrid>
      <w:tr w:rsidR="00A3140A" w:rsidRPr="00EB6639" w14:paraId="113D706C" w14:textId="77777777" w:rsidTr="00E72C1E">
        <w:trPr>
          <w:trHeight w:val="296"/>
        </w:trPr>
        <w:tc>
          <w:tcPr>
            <w:tcW w:w="1080" w:type="dxa"/>
            <w:vAlign w:val="center"/>
          </w:tcPr>
          <w:p w14:paraId="79B14266"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Construct</w:t>
            </w:r>
          </w:p>
        </w:tc>
        <w:tc>
          <w:tcPr>
            <w:tcW w:w="810" w:type="dxa"/>
            <w:vAlign w:val="center"/>
          </w:tcPr>
          <w:p w14:paraId="204D397B"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HE</w:t>
            </w:r>
          </w:p>
        </w:tc>
        <w:tc>
          <w:tcPr>
            <w:tcW w:w="810" w:type="dxa"/>
            <w:vAlign w:val="center"/>
          </w:tcPr>
          <w:p w14:paraId="4DA2EDA3"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NO</w:t>
            </w:r>
          </w:p>
        </w:tc>
        <w:tc>
          <w:tcPr>
            <w:tcW w:w="804" w:type="dxa"/>
            <w:vAlign w:val="center"/>
          </w:tcPr>
          <w:p w14:paraId="7E836AC4"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CUL</w:t>
            </w:r>
          </w:p>
        </w:tc>
        <w:tc>
          <w:tcPr>
            <w:tcW w:w="726" w:type="dxa"/>
            <w:vAlign w:val="center"/>
          </w:tcPr>
          <w:p w14:paraId="12A3D844"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RE</w:t>
            </w:r>
          </w:p>
        </w:tc>
        <w:tc>
          <w:tcPr>
            <w:tcW w:w="732" w:type="dxa"/>
            <w:vAlign w:val="center"/>
          </w:tcPr>
          <w:p w14:paraId="32AC744F"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MEA</w:t>
            </w:r>
          </w:p>
        </w:tc>
        <w:tc>
          <w:tcPr>
            <w:tcW w:w="713" w:type="dxa"/>
            <w:vAlign w:val="center"/>
          </w:tcPr>
          <w:p w14:paraId="1CF6B8BE"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INV</w:t>
            </w:r>
          </w:p>
        </w:tc>
        <w:tc>
          <w:tcPr>
            <w:tcW w:w="949" w:type="dxa"/>
            <w:gridSpan w:val="2"/>
            <w:vAlign w:val="center"/>
          </w:tcPr>
          <w:p w14:paraId="401A13C9"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KNOW</w:t>
            </w:r>
          </w:p>
        </w:tc>
        <w:tc>
          <w:tcPr>
            <w:tcW w:w="747" w:type="dxa"/>
            <w:gridSpan w:val="2"/>
            <w:vAlign w:val="center"/>
          </w:tcPr>
          <w:p w14:paraId="4375D9CA"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GBI</w:t>
            </w:r>
          </w:p>
        </w:tc>
        <w:tc>
          <w:tcPr>
            <w:tcW w:w="665" w:type="dxa"/>
            <w:gridSpan w:val="2"/>
          </w:tcPr>
          <w:p w14:paraId="1B30F712"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PA</w:t>
            </w:r>
          </w:p>
        </w:tc>
        <w:tc>
          <w:tcPr>
            <w:tcW w:w="743" w:type="dxa"/>
            <w:gridSpan w:val="2"/>
            <w:vAlign w:val="center"/>
          </w:tcPr>
          <w:p w14:paraId="40833B77"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AVE</w:t>
            </w:r>
          </w:p>
        </w:tc>
        <w:tc>
          <w:tcPr>
            <w:tcW w:w="743" w:type="dxa"/>
            <w:gridSpan w:val="2"/>
            <w:vAlign w:val="center"/>
          </w:tcPr>
          <w:p w14:paraId="058D1A7A"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MSV</w:t>
            </w:r>
          </w:p>
        </w:tc>
      </w:tr>
      <w:tr w:rsidR="00A3140A" w:rsidRPr="00EB6639" w14:paraId="4511953D" w14:textId="77777777" w:rsidTr="00E72C1E">
        <w:tc>
          <w:tcPr>
            <w:tcW w:w="1080" w:type="dxa"/>
            <w:vAlign w:val="center"/>
          </w:tcPr>
          <w:p w14:paraId="7D0E9840"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HE</w:t>
            </w:r>
          </w:p>
        </w:tc>
        <w:tc>
          <w:tcPr>
            <w:tcW w:w="810" w:type="dxa"/>
            <w:vAlign w:val="center"/>
          </w:tcPr>
          <w:p w14:paraId="33F3D838"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0.753</w:t>
            </w:r>
          </w:p>
        </w:tc>
        <w:tc>
          <w:tcPr>
            <w:tcW w:w="810" w:type="dxa"/>
            <w:vAlign w:val="center"/>
          </w:tcPr>
          <w:p w14:paraId="2CBAB7AF" w14:textId="77777777" w:rsidR="00A3140A" w:rsidRPr="00EB6639" w:rsidRDefault="00A3140A" w:rsidP="00EB6639">
            <w:pPr>
              <w:spacing w:before="240" w:after="120"/>
              <w:jc w:val="both"/>
              <w:rPr>
                <w:rFonts w:ascii="Times New Roman" w:hAnsi="Times New Roman" w:cs="Times New Roman"/>
                <w:sz w:val="20"/>
                <w:szCs w:val="20"/>
              </w:rPr>
            </w:pPr>
          </w:p>
        </w:tc>
        <w:tc>
          <w:tcPr>
            <w:tcW w:w="804" w:type="dxa"/>
          </w:tcPr>
          <w:p w14:paraId="1225782A" w14:textId="77777777" w:rsidR="00A3140A" w:rsidRPr="00EB6639" w:rsidRDefault="00A3140A" w:rsidP="00EB6639">
            <w:pPr>
              <w:spacing w:before="240" w:after="120"/>
              <w:jc w:val="both"/>
              <w:rPr>
                <w:rFonts w:ascii="Times New Roman" w:hAnsi="Times New Roman" w:cs="Times New Roman"/>
                <w:sz w:val="20"/>
                <w:szCs w:val="20"/>
              </w:rPr>
            </w:pPr>
          </w:p>
        </w:tc>
        <w:tc>
          <w:tcPr>
            <w:tcW w:w="726" w:type="dxa"/>
            <w:vAlign w:val="center"/>
          </w:tcPr>
          <w:p w14:paraId="427F9097" w14:textId="77777777" w:rsidR="00A3140A" w:rsidRPr="00EB6639" w:rsidRDefault="00A3140A" w:rsidP="00EB6639">
            <w:pPr>
              <w:spacing w:before="240" w:after="120"/>
              <w:jc w:val="both"/>
              <w:rPr>
                <w:rFonts w:ascii="Times New Roman" w:hAnsi="Times New Roman" w:cs="Times New Roman"/>
                <w:sz w:val="20"/>
                <w:szCs w:val="20"/>
              </w:rPr>
            </w:pPr>
          </w:p>
        </w:tc>
        <w:tc>
          <w:tcPr>
            <w:tcW w:w="732" w:type="dxa"/>
          </w:tcPr>
          <w:p w14:paraId="32DAC693" w14:textId="77777777" w:rsidR="00A3140A" w:rsidRPr="00EB6639" w:rsidRDefault="00A3140A" w:rsidP="00EB6639">
            <w:pPr>
              <w:spacing w:before="240" w:after="120"/>
              <w:jc w:val="both"/>
              <w:rPr>
                <w:rFonts w:ascii="Times New Roman" w:hAnsi="Times New Roman" w:cs="Times New Roman"/>
                <w:sz w:val="20"/>
                <w:szCs w:val="20"/>
              </w:rPr>
            </w:pPr>
          </w:p>
        </w:tc>
        <w:tc>
          <w:tcPr>
            <w:tcW w:w="713" w:type="dxa"/>
          </w:tcPr>
          <w:p w14:paraId="0E00C774" w14:textId="77777777" w:rsidR="00A3140A" w:rsidRPr="00EB6639" w:rsidRDefault="00A3140A" w:rsidP="00EB6639">
            <w:pPr>
              <w:spacing w:before="240" w:after="120"/>
              <w:jc w:val="both"/>
              <w:rPr>
                <w:rFonts w:ascii="Times New Roman" w:hAnsi="Times New Roman" w:cs="Times New Roman"/>
                <w:sz w:val="20"/>
                <w:szCs w:val="20"/>
              </w:rPr>
            </w:pPr>
          </w:p>
        </w:tc>
        <w:tc>
          <w:tcPr>
            <w:tcW w:w="949" w:type="dxa"/>
            <w:gridSpan w:val="2"/>
          </w:tcPr>
          <w:p w14:paraId="4EF05CA5" w14:textId="77777777" w:rsidR="00A3140A" w:rsidRPr="00EB6639" w:rsidRDefault="00A3140A" w:rsidP="00EB6639">
            <w:pPr>
              <w:spacing w:before="240" w:after="120"/>
              <w:jc w:val="both"/>
              <w:rPr>
                <w:rFonts w:ascii="Times New Roman" w:hAnsi="Times New Roman" w:cs="Times New Roman"/>
                <w:sz w:val="20"/>
                <w:szCs w:val="20"/>
              </w:rPr>
            </w:pPr>
          </w:p>
        </w:tc>
        <w:tc>
          <w:tcPr>
            <w:tcW w:w="747" w:type="dxa"/>
            <w:gridSpan w:val="2"/>
          </w:tcPr>
          <w:p w14:paraId="761F05EC" w14:textId="77777777" w:rsidR="00A3140A" w:rsidRPr="00EB6639" w:rsidRDefault="00A3140A" w:rsidP="00EB6639">
            <w:pPr>
              <w:spacing w:before="240" w:after="120"/>
              <w:jc w:val="both"/>
              <w:rPr>
                <w:rFonts w:ascii="Times New Roman" w:hAnsi="Times New Roman" w:cs="Times New Roman"/>
                <w:sz w:val="20"/>
                <w:szCs w:val="20"/>
              </w:rPr>
            </w:pPr>
          </w:p>
        </w:tc>
        <w:tc>
          <w:tcPr>
            <w:tcW w:w="665" w:type="dxa"/>
            <w:gridSpan w:val="2"/>
          </w:tcPr>
          <w:p w14:paraId="1F3322BA" w14:textId="77777777" w:rsidR="00A3140A" w:rsidRPr="00EB6639" w:rsidRDefault="00A3140A" w:rsidP="00EB6639">
            <w:pPr>
              <w:spacing w:before="240" w:after="120"/>
              <w:jc w:val="both"/>
              <w:rPr>
                <w:rFonts w:ascii="Times New Roman" w:hAnsi="Times New Roman" w:cs="Times New Roman"/>
                <w:sz w:val="20"/>
                <w:szCs w:val="20"/>
              </w:rPr>
            </w:pPr>
          </w:p>
        </w:tc>
        <w:tc>
          <w:tcPr>
            <w:tcW w:w="743" w:type="dxa"/>
            <w:gridSpan w:val="2"/>
          </w:tcPr>
          <w:p w14:paraId="07C7F3F1"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0.567</w:t>
            </w:r>
          </w:p>
        </w:tc>
        <w:tc>
          <w:tcPr>
            <w:tcW w:w="743" w:type="dxa"/>
            <w:gridSpan w:val="2"/>
          </w:tcPr>
          <w:p w14:paraId="1CE62B23"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0.060</w:t>
            </w:r>
          </w:p>
        </w:tc>
      </w:tr>
      <w:tr w:rsidR="00A3140A" w:rsidRPr="00EB6639" w14:paraId="17D3ACF4" w14:textId="77777777" w:rsidTr="00E72C1E">
        <w:tc>
          <w:tcPr>
            <w:tcW w:w="1080" w:type="dxa"/>
            <w:vAlign w:val="center"/>
          </w:tcPr>
          <w:p w14:paraId="4E970F7D"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NO</w:t>
            </w:r>
          </w:p>
        </w:tc>
        <w:tc>
          <w:tcPr>
            <w:tcW w:w="810" w:type="dxa"/>
            <w:vAlign w:val="center"/>
          </w:tcPr>
          <w:p w14:paraId="143A0F72"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-0.042</w:t>
            </w:r>
          </w:p>
        </w:tc>
        <w:tc>
          <w:tcPr>
            <w:tcW w:w="810" w:type="dxa"/>
            <w:vAlign w:val="center"/>
          </w:tcPr>
          <w:p w14:paraId="126F4482"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0.914</w:t>
            </w:r>
          </w:p>
        </w:tc>
        <w:tc>
          <w:tcPr>
            <w:tcW w:w="804" w:type="dxa"/>
          </w:tcPr>
          <w:p w14:paraId="51A3FCA0" w14:textId="77777777" w:rsidR="00A3140A" w:rsidRPr="00EB6639" w:rsidRDefault="00A3140A" w:rsidP="00EB6639">
            <w:pPr>
              <w:spacing w:before="240" w:after="120"/>
              <w:jc w:val="both"/>
              <w:rPr>
                <w:rFonts w:ascii="Times New Roman" w:hAnsi="Times New Roman" w:cs="Times New Roman"/>
                <w:sz w:val="20"/>
                <w:szCs w:val="20"/>
              </w:rPr>
            </w:pPr>
          </w:p>
        </w:tc>
        <w:tc>
          <w:tcPr>
            <w:tcW w:w="726" w:type="dxa"/>
            <w:vAlign w:val="center"/>
          </w:tcPr>
          <w:p w14:paraId="1B1F7851" w14:textId="77777777" w:rsidR="00A3140A" w:rsidRPr="00EB6639" w:rsidRDefault="00A3140A" w:rsidP="00EB6639">
            <w:pPr>
              <w:spacing w:before="240" w:after="120"/>
              <w:jc w:val="both"/>
              <w:rPr>
                <w:rFonts w:ascii="Times New Roman" w:hAnsi="Times New Roman" w:cs="Times New Roman"/>
                <w:sz w:val="20"/>
                <w:szCs w:val="20"/>
              </w:rPr>
            </w:pPr>
          </w:p>
        </w:tc>
        <w:tc>
          <w:tcPr>
            <w:tcW w:w="732" w:type="dxa"/>
          </w:tcPr>
          <w:p w14:paraId="21578E60" w14:textId="77777777" w:rsidR="00A3140A" w:rsidRPr="00EB6639" w:rsidRDefault="00A3140A" w:rsidP="00EB6639">
            <w:pPr>
              <w:spacing w:before="240" w:after="120"/>
              <w:jc w:val="both"/>
              <w:rPr>
                <w:rFonts w:ascii="Times New Roman" w:hAnsi="Times New Roman" w:cs="Times New Roman"/>
                <w:sz w:val="20"/>
                <w:szCs w:val="20"/>
              </w:rPr>
            </w:pPr>
          </w:p>
        </w:tc>
        <w:tc>
          <w:tcPr>
            <w:tcW w:w="713" w:type="dxa"/>
          </w:tcPr>
          <w:p w14:paraId="36FDAF46" w14:textId="77777777" w:rsidR="00A3140A" w:rsidRPr="00EB6639" w:rsidRDefault="00A3140A" w:rsidP="00EB6639">
            <w:pPr>
              <w:spacing w:before="240" w:after="120"/>
              <w:jc w:val="both"/>
              <w:rPr>
                <w:rFonts w:ascii="Times New Roman" w:hAnsi="Times New Roman" w:cs="Times New Roman"/>
                <w:sz w:val="20"/>
                <w:szCs w:val="20"/>
              </w:rPr>
            </w:pPr>
          </w:p>
        </w:tc>
        <w:tc>
          <w:tcPr>
            <w:tcW w:w="949" w:type="dxa"/>
            <w:gridSpan w:val="2"/>
          </w:tcPr>
          <w:p w14:paraId="3D39E553" w14:textId="77777777" w:rsidR="00A3140A" w:rsidRPr="00EB6639" w:rsidRDefault="00A3140A" w:rsidP="00EB6639">
            <w:pPr>
              <w:spacing w:before="240" w:after="120"/>
              <w:jc w:val="both"/>
              <w:rPr>
                <w:rFonts w:ascii="Times New Roman" w:hAnsi="Times New Roman" w:cs="Times New Roman"/>
                <w:sz w:val="20"/>
                <w:szCs w:val="20"/>
              </w:rPr>
            </w:pPr>
          </w:p>
        </w:tc>
        <w:tc>
          <w:tcPr>
            <w:tcW w:w="747" w:type="dxa"/>
            <w:gridSpan w:val="2"/>
          </w:tcPr>
          <w:p w14:paraId="711F7345" w14:textId="77777777" w:rsidR="00A3140A" w:rsidRPr="00EB6639" w:rsidRDefault="00A3140A" w:rsidP="00EB6639">
            <w:pPr>
              <w:spacing w:before="240" w:after="120"/>
              <w:jc w:val="both"/>
              <w:rPr>
                <w:rFonts w:ascii="Times New Roman" w:hAnsi="Times New Roman" w:cs="Times New Roman"/>
                <w:sz w:val="20"/>
                <w:szCs w:val="20"/>
              </w:rPr>
            </w:pPr>
          </w:p>
        </w:tc>
        <w:tc>
          <w:tcPr>
            <w:tcW w:w="665" w:type="dxa"/>
            <w:gridSpan w:val="2"/>
          </w:tcPr>
          <w:p w14:paraId="5E962144" w14:textId="77777777" w:rsidR="00A3140A" w:rsidRPr="00EB6639" w:rsidRDefault="00A3140A" w:rsidP="00EB6639">
            <w:pPr>
              <w:spacing w:before="240" w:after="120"/>
              <w:jc w:val="both"/>
              <w:rPr>
                <w:rFonts w:ascii="Times New Roman" w:hAnsi="Times New Roman" w:cs="Times New Roman"/>
                <w:sz w:val="20"/>
                <w:szCs w:val="20"/>
              </w:rPr>
            </w:pPr>
          </w:p>
        </w:tc>
        <w:tc>
          <w:tcPr>
            <w:tcW w:w="743" w:type="dxa"/>
            <w:gridSpan w:val="2"/>
          </w:tcPr>
          <w:p w14:paraId="408709A4"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0.836</w:t>
            </w:r>
          </w:p>
        </w:tc>
        <w:tc>
          <w:tcPr>
            <w:tcW w:w="743" w:type="dxa"/>
            <w:gridSpan w:val="2"/>
          </w:tcPr>
          <w:p w14:paraId="1789AD8D"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0.152</w:t>
            </w:r>
          </w:p>
        </w:tc>
      </w:tr>
      <w:tr w:rsidR="00A3140A" w:rsidRPr="00EB6639" w14:paraId="3CBF08B2" w14:textId="77777777" w:rsidTr="00E72C1E">
        <w:tc>
          <w:tcPr>
            <w:tcW w:w="1080" w:type="dxa"/>
            <w:vAlign w:val="center"/>
          </w:tcPr>
          <w:p w14:paraId="2E9EBEFE"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CUL</w:t>
            </w:r>
          </w:p>
        </w:tc>
        <w:tc>
          <w:tcPr>
            <w:tcW w:w="810" w:type="dxa"/>
            <w:vAlign w:val="center"/>
          </w:tcPr>
          <w:p w14:paraId="1B11F283"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-0.067</w:t>
            </w:r>
          </w:p>
        </w:tc>
        <w:tc>
          <w:tcPr>
            <w:tcW w:w="810" w:type="dxa"/>
            <w:vAlign w:val="center"/>
          </w:tcPr>
          <w:p w14:paraId="1A915612"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0.348</w:t>
            </w:r>
          </w:p>
        </w:tc>
        <w:tc>
          <w:tcPr>
            <w:tcW w:w="804" w:type="dxa"/>
          </w:tcPr>
          <w:p w14:paraId="549FB925"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0.934</w:t>
            </w:r>
          </w:p>
        </w:tc>
        <w:tc>
          <w:tcPr>
            <w:tcW w:w="726" w:type="dxa"/>
            <w:vAlign w:val="center"/>
          </w:tcPr>
          <w:p w14:paraId="0E8E9AA9" w14:textId="77777777" w:rsidR="00A3140A" w:rsidRPr="00EB6639" w:rsidRDefault="00A3140A" w:rsidP="00EB6639">
            <w:pPr>
              <w:spacing w:before="240" w:after="120"/>
              <w:jc w:val="both"/>
              <w:rPr>
                <w:rFonts w:ascii="Times New Roman" w:hAnsi="Times New Roman" w:cs="Times New Roman"/>
                <w:b/>
                <w:bCs/>
                <w:sz w:val="20"/>
                <w:szCs w:val="20"/>
              </w:rPr>
            </w:pPr>
          </w:p>
        </w:tc>
        <w:tc>
          <w:tcPr>
            <w:tcW w:w="732" w:type="dxa"/>
          </w:tcPr>
          <w:p w14:paraId="0FCFED2F" w14:textId="77777777" w:rsidR="00A3140A" w:rsidRPr="00EB6639" w:rsidRDefault="00A3140A" w:rsidP="00EB6639">
            <w:pPr>
              <w:spacing w:before="240" w:after="120"/>
              <w:jc w:val="both"/>
              <w:rPr>
                <w:rFonts w:ascii="Times New Roman" w:hAnsi="Times New Roman" w:cs="Times New Roman"/>
                <w:b/>
                <w:bCs/>
                <w:sz w:val="20"/>
                <w:szCs w:val="20"/>
              </w:rPr>
            </w:pPr>
          </w:p>
        </w:tc>
        <w:tc>
          <w:tcPr>
            <w:tcW w:w="713" w:type="dxa"/>
          </w:tcPr>
          <w:p w14:paraId="36CAE8DC" w14:textId="77777777" w:rsidR="00A3140A" w:rsidRPr="00EB6639" w:rsidRDefault="00A3140A" w:rsidP="00EB6639">
            <w:pPr>
              <w:spacing w:before="240" w:after="120"/>
              <w:jc w:val="both"/>
              <w:rPr>
                <w:rFonts w:ascii="Times New Roman" w:hAnsi="Times New Roman" w:cs="Times New Roman"/>
                <w:b/>
                <w:bCs/>
                <w:sz w:val="20"/>
                <w:szCs w:val="20"/>
              </w:rPr>
            </w:pPr>
          </w:p>
        </w:tc>
        <w:tc>
          <w:tcPr>
            <w:tcW w:w="949" w:type="dxa"/>
            <w:gridSpan w:val="2"/>
          </w:tcPr>
          <w:p w14:paraId="21541006" w14:textId="77777777" w:rsidR="00A3140A" w:rsidRPr="00EB6639" w:rsidRDefault="00A3140A" w:rsidP="00EB6639">
            <w:pPr>
              <w:spacing w:before="240" w:after="120"/>
              <w:jc w:val="both"/>
              <w:rPr>
                <w:rFonts w:ascii="Times New Roman" w:hAnsi="Times New Roman" w:cs="Times New Roman"/>
                <w:b/>
                <w:bCs/>
                <w:sz w:val="20"/>
                <w:szCs w:val="20"/>
              </w:rPr>
            </w:pPr>
          </w:p>
        </w:tc>
        <w:tc>
          <w:tcPr>
            <w:tcW w:w="747" w:type="dxa"/>
            <w:gridSpan w:val="2"/>
          </w:tcPr>
          <w:p w14:paraId="30F77053" w14:textId="77777777" w:rsidR="00A3140A" w:rsidRPr="00EB6639" w:rsidRDefault="00A3140A" w:rsidP="00EB6639">
            <w:pPr>
              <w:spacing w:before="240" w:after="120"/>
              <w:jc w:val="both"/>
              <w:rPr>
                <w:rFonts w:ascii="Times New Roman" w:hAnsi="Times New Roman" w:cs="Times New Roman"/>
                <w:sz w:val="20"/>
                <w:szCs w:val="20"/>
              </w:rPr>
            </w:pPr>
          </w:p>
        </w:tc>
        <w:tc>
          <w:tcPr>
            <w:tcW w:w="665" w:type="dxa"/>
            <w:gridSpan w:val="2"/>
          </w:tcPr>
          <w:p w14:paraId="1F9CF832" w14:textId="77777777" w:rsidR="00A3140A" w:rsidRPr="00EB6639" w:rsidRDefault="00A3140A" w:rsidP="00EB6639">
            <w:pPr>
              <w:spacing w:before="240" w:after="120"/>
              <w:jc w:val="both"/>
              <w:rPr>
                <w:rFonts w:ascii="Times New Roman" w:hAnsi="Times New Roman" w:cs="Times New Roman"/>
                <w:sz w:val="20"/>
                <w:szCs w:val="20"/>
              </w:rPr>
            </w:pPr>
          </w:p>
        </w:tc>
        <w:tc>
          <w:tcPr>
            <w:tcW w:w="743" w:type="dxa"/>
            <w:gridSpan w:val="2"/>
          </w:tcPr>
          <w:p w14:paraId="63EA5A0C"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0.872</w:t>
            </w:r>
          </w:p>
        </w:tc>
        <w:tc>
          <w:tcPr>
            <w:tcW w:w="743" w:type="dxa"/>
            <w:gridSpan w:val="2"/>
          </w:tcPr>
          <w:p w14:paraId="308D6DEE"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0.330</w:t>
            </w:r>
          </w:p>
        </w:tc>
      </w:tr>
      <w:tr w:rsidR="00A3140A" w:rsidRPr="00EB6639" w14:paraId="538532CC" w14:textId="77777777" w:rsidTr="00E72C1E">
        <w:trPr>
          <w:gridAfter w:val="1"/>
          <w:wAfter w:w="7" w:type="dxa"/>
        </w:trPr>
        <w:tc>
          <w:tcPr>
            <w:tcW w:w="1080" w:type="dxa"/>
            <w:vAlign w:val="center"/>
          </w:tcPr>
          <w:p w14:paraId="07BD683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RE</w:t>
            </w:r>
          </w:p>
        </w:tc>
        <w:tc>
          <w:tcPr>
            <w:tcW w:w="810" w:type="dxa"/>
            <w:vAlign w:val="center"/>
          </w:tcPr>
          <w:p w14:paraId="0853A76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0.071</w:t>
            </w:r>
          </w:p>
        </w:tc>
        <w:tc>
          <w:tcPr>
            <w:tcW w:w="810" w:type="dxa"/>
            <w:vAlign w:val="center"/>
          </w:tcPr>
          <w:p w14:paraId="0C49CE5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0.389</w:t>
            </w:r>
          </w:p>
        </w:tc>
        <w:tc>
          <w:tcPr>
            <w:tcW w:w="804" w:type="dxa"/>
          </w:tcPr>
          <w:p w14:paraId="067DDB1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0.455</w:t>
            </w:r>
          </w:p>
        </w:tc>
        <w:tc>
          <w:tcPr>
            <w:tcW w:w="726" w:type="dxa"/>
            <w:vAlign w:val="center"/>
          </w:tcPr>
          <w:p w14:paraId="254AC20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b/>
                <w:bCs/>
                <w:sz w:val="20"/>
                <w:szCs w:val="20"/>
              </w:rPr>
              <w:t>0.836</w:t>
            </w:r>
          </w:p>
        </w:tc>
        <w:tc>
          <w:tcPr>
            <w:tcW w:w="732" w:type="dxa"/>
          </w:tcPr>
          <w:p w14:paraId="40020A4A" w14:textId="77777777" w:rsidR="00A3140A" w:rsidRPr="00EB6639" w:rsidRDefault="00A3140A" w:rsidP="00EB6639">
            <w:pPr>
              <w:spacing w:before="240" w:after="120"/>
              <w:jc w:val="both"/>
              <w:rPr>
                <w:rFonts w:ascii="Times New Roman" w:hAnsi="Times New Roman" w:cs="Times New Roman"/>
                <w:b/>
                <w:bCs/>
                <w:sz w:val="20"/>
                <w:szCs w:val="20"/>
              </w:rPr>
            </w:pPr>
          </w:p>
        </w:tc>
        <w:tc>
          <w:tcPr>
            <w:tcW w:w="713" w:type="dxa"/>
          </w:tcPr>
          <w:p w14:paraId="295195DF" w14:textId="77777777" w:rsidR="00A3140A" w:rsidRPr="00EB6639" w:rsidRDefault="00A3140A" w:rsidP="00EB6639">
            <w:pPr>
              <w:spacing w:before="240" w:after="120"/>
              <w:jc w:val="both"/>
              <w:rPr>
                <w:rFonts w:ascii="Times New Roman" w:hAnsi="Times New Roman" w:cs="Times New Roman"/>
                <w:b/>
                <w:bCs/>
                <w:sz w:val="20"/>
                <w:szCs w:val="20"/>
              </w:rPr>
            </w:pPr>
          </w:p>
        </w:tc>
        <w:tc>
          <w:tcPr>
            <w:tcW w:w="949" w:type="dxa"/>
            <w:gridSpan w:val="2"/>
          </w:tcPr>
          <w:p w14:paraId="39EF4F73" w14:textId="77777777" w:rsidR="00A3140A" w:rsidRPr="00EB6639" w:rsidRDefault="00A3140A" w:rsidP="00EB6639">
            <w:pPr>
              <w:spacing w:before="240" w:after="120"/>
              <w:jc w:val="both"/>
              <w:rPr>
                <w:rFonts w:ascii="Times New Roman" w:hAnsi="Times New Roman" w:cs="Times New Roman"/>
                <w:b/>
                <w:bCs/>
                <w:sz w:val="20"/>
                <w:szCs w:val="20"/>
              </w:rPr>
            </w:pPr>
          </w:p>
        </w:tc>
        <w:tc>
          <w:tcPr>
            <w:tcW w:w="740" w:type="dxa"/>
          </w:tcPr>
          <w:p w14:paraId="2CC7B489" w14:textId="77777777" w:rsidR="00A3140A" w:rsidRPr="00EB6639" w:rsidRDefault="00A3140A" w:rsidP="00EB6639">
            <w:pPr>
              <w:spacing w:before="240" w:after="120"/>
              <w:jc w:val="both"/>
              <w:rPr>
                <w:rFonts w:ascii="Times New Roman" w:hAnsi="Times New Roman" w:cs="Times New Roman"/>
                <w:b/>
                <w:bCs/>
                <w:sz w:val="20"/>
                <w:szCs w:val="20"/>
              </w:rPr>
            </w:pPr>
          </w:p>
        </w:tc>
        <w:tc>
          <w:tcPr>
            <w:tcW w:w="666" w:type="dxa"/>
            <w:gridSpan w:val="2"/>
          </w:tcPr>
          <w:p w14:paraId="0465C9BC" w14:textId="77777777" w:rsidR="00A3140A" w:rsidRPr="00EB6639" w:rsidRDefault="00A3140A" w:rsidP="00EB6639">
            <w:pPr>
              <w:spacing w:before="240" w:after="120"/>
              <w:jc w:val="both"/>
              <w:rPr>
                <w:rFonts w:ascii="Times New Roman" w:hAnsi="Times New Roman" w:cs="Times New Roman"/>
                <w:sz w:val="20"/>
                <w:szCs w:val="20"/>
              </w:rPr>
            </w:pPr>
          </w:p>
        </w:tc>
        <w:tc>
          <w:tcPr>
            <w:tcW w:w="742" w:type="dxa"/>
            <w:gridSpan w:val="2"/>
          </w:tcPr>
          <w:p w14:paraId="4FF8DC3B"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0.698</w:t>
            </w:r>
          </w:p>
        </w:tc>
        <w:tc>
          <w:tcPr>
            <w:tcW w:w="743" w:type="dxa"/>
            <w:gridSpan w:val="2"/>
          </w:tcPr>
          <w:p w14:paraId="1925A05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0.345</w:t>
            </w:r>
          </w:p>
        </w:tc>
      </w:tr>
      <w:tr w:rsidR="00A3140A" w:rsidRPr="00EB6639" w14:paraId="4C533E04" w14:textId="77777777" w:rsidTr="00E72C1E">
        <w:trPr>
          <w:gridAfter w:val="1"/>
          <w:wAfter w:w="7" w:type="dxa"/>
        </w:trPr>
        <w:tc>
          <w:tcPr>
            <w:tcW w:w="1080" w:type="dxa"/>
            <w:vAlign w:val="center"/>
          </w:tcPr>
          <w:p w14:paraId="37FAAC5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MEA</w:t>
            </w:r>
          </w:p>
        </w:tc>
        <w:tc>
          <w:tcPr>
            <w:tcW w:w="810" w:type="dxa"/>
            <w:vAlign w:val="center"/>
          </w:tcPr>
          <w:p w14:paraId="26B2D648"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0.180</w:t>
            </w:r>
          </w:p>
        </w:tc>
        <w:tc>
          <w:tcPr>
            <w:tcW w:w="810" w:type="dxa"/>
            <w:vAlign w:val="center"/>
          </w:tcPr>
          <w:p w14:paraId="35D35CF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0.030</w:t>
            </w:r>
          </w:p>
        </w:tc>
        <w:tc>
          <w:tcPr>
            <w:tcW w:w="804" w:type="dxa"/>
          </w:tcPr>
          <w:p w14:paraId="08A2ADF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-0.008</w:t>
            </w:r>
          </w:p>
        </w:tc>
        <w:tc>
          <w:tcPr>
            <w:tcW w:w="726" w:type="dxa"/>
            <w:vAlign w:val="center"/>
          </w:tcPr>
          <w:p w14:paraId="63F90A6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0.047</w:t>
            </w:r>
          </w:p>
        </w:tc>
        <w:tc>
          <w:tcPr>
            <w:tcW w:w="732" w:type="dxa"/>
          </w:tcPr>
          <w:p w14:paraId="64115FFE"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0.907</w:t>
            </w:r>
          </w:p>
        </w:tc>
        <w:tc>
          <w:tcPr>
            <w:tcW w:w="713" w:type="dxa"/>
          </w:tcPr>
          <w:p w14:paraId="099C8B2A" w14:textId="77777777" w:rsidR="00A3140A" w:rsidRPr="00EB6639" w:rsidRDefault="00A3140A" w:rsidP="00EB6639">
            <w:pPr>
              <w:spacing w:before="240" w:after="120"/>
              <w:jc w:val="both"/>
              <w:rPr>
                <w:rFonts w:ascii="Times New Roman" w:hAnsi="Times New Roman" w:cs="Times New Roman"/>
                <w:b/>
                <w:bCs/>
                <w:sz w:val="20"/>
                <w:szCs w:val="20"/>
              </w:rPr>
            </w:pPr>
          </w:p>
        </w:tc>
        <w:tc>
          <w:tcPr>
            <w:tcW w:w="949" w:type="dxa"/>
            <w:gridSpan w:val="2"/>
          </w:tcPr>
          <w:p w14:paraId="55936F59" w14:textId="77777777" w:rsidR="00A3140A" w:rsidRPr="00EB6639" w:rsidRDefault="00A3140A" w:rsidP="00EB6639">
            <w:pPr>
              <w:spacing w:before="240" w:after="120"/>
              <w:jc w:val="both"/>
              <w:rPr>
                <w:rFonts w:ascii="Times New Roman" w:hAnsi="Times New Roman" w:cs="Times New Roman"/>
                <w:b/>
                <w:bCs/>
                <w:sz w:val="20"/>
                <w:szCs w:val="20"/>
              </w:rPr>
            </w:pPr>
          </w:p>
        </w:tc>
        <w:tc>
          <w:tcPr>
            <w:tcW w:w="740" w:type="dxa"/>
          </w:tcPr>
          <w:p w14:paraId="14237FCD" w14:textId="77777777" w:rsidR="00A3140A" w:rsidRPr="00EB6639" w:rsidRDefault="00A3140A" w:rsidP="00EB6639">
            <w:pPr>
              <w:spacing w:before="240" w:after="120"/>
              <w:jc w:val="both"/>
              <w:rPr>
                <w:rFonts w:ascii="Times New Roman" w:hAnsi="Times New Roman" w:cs="Times New Roman"/>
                <w:b/>
                <w:bCs/>
                <w:sz w:val="20"/>
                <w:szCs w:val="20"/>
              </w:rPr>
            </w:pPr>
          </w:p>
        </w:tc>
        <w:tc>
          <w:tcPr>
            <w:tcW w:w="666" w:type="dxa"/>
            <w:gridSpan w:val="2"/>
          </w:tcPr>
          <w:p w14:paraId="30EAA67A" w14:textId="77777777" w:rsidR="00A3140A" w:rsidRPr="00EB6639" w:rsidRDefault="00A3140A" w:rsidP="00EB6639">
            <w:pPr>
              <w:spacing w:before="240" w:after="120"/>
              <w:jc w:val="both"/>
              <w:rPr>
                <w:rFonts w:ascii="Times New Roman" w:hAnsi="Times New Roman" w:cs="Times New Roman"/>
                <w:sz w:val="20"/>
                <w:szCs w:val="20"/>
              </w:rPr>
            </w:pPr>
          </w:p>
        </w:tc>
        <w:tc>
          <w:tcPr>
            <w:tcW w:w="742" w:type="dxa"/>
            <w:gridSpan w:val="2"/>
          </w:tcPr>
          <w:p w14:paraId="35016958"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0.822</w:t>
            </w:r>
          </w:p>
        </w:tc>
        <w:tc>
          <w:tcPr>
            <w:tcW w:w="743" w:type="dxa"/>
            <w:gridSpan w:val="2"/>
          </w:tcPr>
          <w:p w14:paraId="1233125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0.078</w:t>
            </w:r>
          </w:p>
        </w:tc>
      </w:tr>
      <w:tr w:rsidR="00A3140A" w:rsidRPr="00EB6639" w14:paraId="7850278E" w14:textId="77777777" w:rsidTr="00E72C1E">
        <w:trPr>
          <w:gridAfter w:val="1"/>
          <w:wAfter w:w="7" w:type="dxa"/>
        </w:trPr>
        <w:tc>
          <w:tcPr>
            <w:tcW w:w="1080" w:type="dxa"/>
            <w:vAlign w:val="center"/>
          </w:tcPr>
          <w:p w14:paraId="307EF1F3"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INV</w:t>
            </w:r>
          </w:p>
        </w:tc>
        <w:tc>
          <w:tcPr>
            <w:tcW w:w="810" w:type="dxa"/>
            <w:vAlign w:val="center"/>
          </w:tcPr>
          <w:p w14:paraId="1114D098"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0.244</w:t>
            </w:r>
          </w:p>
        </w:tc>
        <w:tc>
          <w:tcPr>
            <w:tcW w:w="810" w:type="dxa"/>
            <w:vAlign w:val="center"/>
          </w:tcPr>
          <w:p w14:paraId="66931E7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-0.026</w:t>
            </w:r>
          </w:p>
        </w:tc>
        <w:tc>
          <w:tcPr>
            <w:tcW w:w="804" w:type="dxa"/>
          </w:tcPr>
          <w:p w14:paraId="3504FE32"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0.011</w:t>
            </w:r>
          </w:p>
        </w:tc>
        <w:tc>
          <w:tcPr>
            <w:tcW w:w="726" w:type="dxa"/>
            <w:vAlign w:val="center"/>
          </w:tcPr>
          <w:p w14:paraId="1B988FC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0.171</w:t>
            </w:r>
          </w:p>
        </w:tc>
        <w:tc>
          <w:tcPr>
            <w:tcW w:w="732" w:type="dxa"/>
          </w:tcPr>
          <w:p w14:paraId="46D0369B"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0.279</w:t>
            </w:r>
          </w:p>
        </w:tc>
        <w:tc>
          <w:tcPr>
            <w:tcW w:w="713" w:type="dxa"/>
          </w:tcPr>
          <w:p w14:paraId="3CCBC16F"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0.811</w:t>
            </w:r>
          </w:p>
        </w:tc>
        <w:tc>
          <w:tcPr>
            <w:tcW w:w="949" w:type="dxa"/>
            <w:gridSpan w:val="2"/>
          </w:tcPr>
          <w:p w14:paraId="6FC89317" w14:textId="77777777" w:rsidR="00A3140A" w:rsidRPr="00EB6639" w:rsidRDefault="00A3140A" w:rsidP="00EB6639">
            <w:pPr>
              <w:spacing w:before="240" w:after="120"/>
              <w:jc w:val="both"/>
              <w:rPr>
                <w:rFonts w:ascii="Times New Roman" w:hAnsi="Times New Roman" w:cs="Times New Roman"/>
                <w:b/>
                <w:bCs/>
                <w:sz w:val="20"/>
                <w:szCs w:val="20"/>
              </w:rPr>
            </w:pPr>
          </w:p>
        </w:tc>
        <w:tc>
          <w:tcPr>
            <w:tcW w:w="740" w:type="dxa"/>
          </w:tcPr>
          <w:p w14:paraId="7CBFDC67" w14:textId="77777777" w:rsidR="00A3140A" w:rsidRPr="00EB6639" w:rsidRDefault="00A3140A" w:rsidP="00EB6639">
            <w:pPr>
              <w:spacing w:before="240" w:after="120"/>
              <w:jc w:val="both"/>
              <w:rPr>
                <w:rFonts w:ascii="Times New Roman" w:hAnsi="Times New Roman" w:cs="Times New Roman"/>
                <w:b/>
                <w:bCs/>
                <w:sz w:val="20"/>
                <w:szCs w:val="20"/>
              </w:rPr>
            </w:pPr>
          </w:p>
        </w:tc>
        <w:tc>
          <w:tcPr>
            <w:tcW w:w="666" w:type="dxa"/>
            <w:gridSpan w:val="2"/>
          </w:tcPr>
          <w:p w14:paraId="67774FC8" w14:textId="77777777" w:rsidR="00A3140A" w:rsidRPr="00EB6639" w:rsidRDefault="00A3140A" w:rsidP="00EB6639">
            <w:pPr>
              <w:spacing w:before="240" w:after="120"/>
              <w:jc w:val="both"/>
              <w:rPr>
                <w:rFonts w:ascii="Times New Roman" w:hAnsi="Times New Roman" w:cs="Times New Roman"/>
                <w:sz w:val="20"/>
                <w:szCs w:val="20"/>
              </w:rPr>
            </w:pPr>
          </w:p>
        </w:tc>
        <w:tc>
          <w:tcPr>
            <w:tcW w:w="742" w:type="dxa"/>
            <w:gridSpan w:val="2"/>
          </w:tcPr>
          <w:p w14:paraId="673C88F1"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0.658</w:t>
            </w:r>
          </w:p>
        </w:tc>
        <w:tc>
          <w:tcPr>
            <w:tcW w:w="743" w:type="dxa"/>
            <w:gridSpan w:val="2"/>
          </w:tcPr>
          <w:p w14:paraId="185E64DD"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0.078</w:t>
            </w:r>
          </w:p>
        </w:tc>
      </w:tr>
      <w:tr w:rsidR="00A3140A" w:rsidRPr="00EB6639" w14:paraId="0884E156" w14:textId="77777777" w:rsidTr="00E72C1E">
        <w:trPr>
          <w:gridAfter w:val="1"/>
          <w:wAfter w:w="7" w:type="dxa"/>
        </w:trPr>
        <w:tc>
          <w:tcPr>
            <w:tcW w:w="1080" w:type="dxa"/>
            <w:vAlign w:val="center"/>
          </w:tcPr>
          <w:p w14:paraId="360A786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KNOW</w:t>
            </w:r>
          </w:p>
        </w:tc>
        <w:tc>
          <w:tcPr>
            <w:tcW w:w="810" w:type="dxa"/>
            <w:vAlign w:val="center"/>
          </w:tcPr>
          <w:p w14:paraId="4ABA1781"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-0.154</w:t>
            </w:r>
          </w:p>
        </w:tc>
        <w:tc>
          <w:tcPr>
            <w:tcW w:w="810" w:type="dxa"/>
            <w:vAlign w:val="center"/>
          </w:tcPr>
          <w:p w14:paraId="60249504"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0.281</w:t>
            </w:r>
          </w:p>
        </w:tc>
        <w:tc>
          <w:tcPr>
            <w:tcW w:w="804" w:type="dxa"/>
          </w:tcPr>
          <w:p w14:paraId="76759C88"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0.316</w:t>
            </w:r>
          </w:p>
        </w:tc>
        <w:tc>
          <w:tcPr>
            <w:tcW w:w="726" w:type="dxa"/>
            <w:vAlign w:val="center"/>
          </w:tcPr>
          <w:p w14:paraId="190304B2"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0.377</w:t>
            </w:r>
          </w:p>
        </w:tc>
        <w:tc>
          <w:tcPr>
            <w:tcW w:w="732" w:type="dxa"/>
          </w:tcPr>
          <w:p w14:paraId="23D7DABC"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0.083</w:t>
            </w:r>
          </w:p>
        </w:tc>
        <w:tc>
          <w:tcPr>
            <w:tcW w:w="760" w:type="dxa"/>
            <w:gridSpan w:val="2"/>
          </w:tcPr>
          <w:p w14:paraId="2AEF2F5F"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-0.010</w:t>
            </w:r>
          </w:p>
        </w:tc>
        <w:tc>
          <w:tcPr>
            <w:tcW w:w="902" w:type="dxa"/>
          </w:tcPr>
          <w:p w14:paraId="34F91785"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0.713</w:t>
            </w:r>
          </w:p>
        </w:tc>
        <w:tc>
          <w:tcPr>
            <w:tcW w:w="740" w:type="dxa"/>
          </w:tcPr>
          <w:p w14:paraId="53081225" w14:textId="77777777" w:rsidR="00A3140A" w:rsidRPr="00EB6639" w:rsidRDefault="00A3140A" w:rsidP="00EB6639">
            <w:pPr>
              <w:spacing w:before="240" w:after="120"/>
              <w:jc w:val="both"/>
              <w:rPr>
                <w:rFonts w:ascii="Times New Roman" w:hAnsi="Times New Roman" w:cs="Times New Roman"/>
                <w:b/>
                <w:bCs/>
                <w:sz w:val="20"/>
                <w:szCs w:val="20"/>
              </w:rPr>
            </w:pPr>
          </w:p>
        </w:tc>
        <w:tc>
          <w:tcPr>
            <w:tcW w:w="666" w:type="dxa"/>
            <w:gridSpan w:val="2"/>
          </w:tcPr>
          <w:p w14:paraId="77AD048F" w14:textId="77777777" w:rsidR="00A3140A" w:rsidRPr="00EB6639" w:rsidRDefault="00A3140A" w:rsidP="00EB6639">
            <w:pPr>
              <w:spacing w:before="240" w:after="120"/>
              <w:jc w:val="both"/>
              <w:rPr>
                <w:rFonts w:ascii="Times New Roman" w:hAnsi="Times New Roman" w:cs="Times New Roman"/>
                <w:sz w:val="20"/>
                <w:szCs w:val="20"/>
              </w:rPr>
            </w:pPr>
          </w:p>
        </w:tc>
        <w:tc>
          <w:tcPr>
            <w:tcW w:w="742" w:type="dxa"/>
            <w:gridSpan w:val="2"/>
          </w:tcPr>
          <w:p w14:paraId="4394CA1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0.509</w:t>
            </w:r>
          </w:p>
        </w:tc>
        <w:tc>
          <w:tcPr>
            <w:tcW w:w="743" w:type="dxa"/>
            <w:gridSpan w:val="2"/>
          </w:tcPr>
          <w:p w14:paraId="3E1A0D81"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0.142</w:t>
            </w:r>
          </w:p>
        </w:tc>
      </w:tr>
      <w:tr w:rsidR="00A3140A" w:rsidRPr="00EB6639" w14:paraId="1F1AC4E7" w14:textId="77777777" w:rsidTr="00E72C1E">
        <w:trPr>
          <w:gridAfter w:val="1"/>
          <w:wAfter w:w="7" w:type="dxa"/>
        </w:trPr>
        <w:tc>
          <w:tcPr>
            <w:tcW w:w="1080" w:type="dxa"/>
            <w:vAlign w:val="center"/>
          </w:tcPr>
          <w:p w14:paraId="6CC5610E"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GBI</w:t>
            </w:r>
          </w:p>
        </w:tc>
        <w:tc>
          <w:tcPr>
            <w:tcW w:w="810" w:type="dxa"/>
            <w:vAlign w:val="center"/>
          </w:tcPr>
          <w:p w14:paraId="6B29347E"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-0.083</w:t>
            </w:r>
          </w:p>
        </w:tc>
        <w:tc>
          <w:tcPr>
            <w:tcW w:w="810" w:type="dxa"/>
            <w:vAlign w:val="center"/>
          </w:tcPr>
          <w:p w14:paraId="26CFC0E2"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0.279</w:t>
            </w:r>
          </w:p>
        </w:tc>
        <w:tc>
          <w:tcPr>
            <w:tcW w:w="804" w:type="dxa"/>
          </w:tcPr>
          <w:p w14:paraId="0B27625D"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0.574</w:t>
            </w:r>
          </w:p>
        </w:tc>
        <w:tc>
          <w:tcPr>
            <w:tcW w:w="726" w:type="dxa"/>
            <w:vAlign w:val="center"/>
          </w:tcPr>
          <w:p w14:paraId="00F54F7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0.587</w:t>
            </w:r>
          </w:p>
        </w:tc>
        <w:tc>
          <w:tcPr>
            <w:tcW w:w="732" w:type="dxa"/>
          </w:tcPr>
          <w:p w14:paraId="5DF6859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0.037</w:t>
            </w:r>
          </w:p>
        </w:tc>
        <w:tc>
          <w:tcPr>
            <w:tcW w:w="760" w:type="dxa"/>
            <w:gridSpan w:val="2"/>
          </w:tcPr>
          <w:p w14:paraId="556FA0E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0.075</w:t>
            </w:r>
          </w:p>
        </w:tc>
        <w:tc>
          <w:tcPr>
            <w:tcW w:w="902" w:type="dxa"/>
          </w:tcPr>
          <w:p w14:paraId="367CF2A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0.369</w:t>
            </w:r>
          </w:p>
        </w:tc>
        <w:tc>
          <w:tcPr>
            <w:tcW w:w="740" w:type="dxa"/>
          </w:tcPr>
          <w:p w14:paraId="72758246"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0.805</w:t>
            </w:r>
          </w:p>
        </w:tc>
        <w:tc>
          <w:tcPr>
            <w:tcW w:w="666" w:type="dxa"/>
            <w:gridSpan w:val="2"/>
          </w:tcPr>
          <w:p w14:paraId="2113AB92" w14:textId="77777777" w:rsidR="00A3140A" w:rsidRPr="00EB6639" w:rsidRDefault="00A3140A" w:rsidP="00EB6639">
            <w:pPr>
              <w:spacing w:before="240" w:after="120"/>
              <w:jc w:val="both"/>
              <w:rPr>
                <w:rFonts w:ascii="Times New Roman" w:hAnsi="Times New Roman" w:cs="Times New Roman"/>
                <w:sz w:val="20"/>
                <w:szCs w:val="20"/>
              </w:rPr>
            </w:pPr>
          </w:p>
        </w:tc>
        <w:tc>
          <w:tcPr>
            <w:tcW w:w="742" w:type="dxa"/>
            <w:gridSpan w:val="2"/>
          </w:tcPr>
          <w:p w14:paraId="0AA9C880"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0.648</w:t>
            </w:r>
          </w:p>
        </w:tc>
        <w:tc>
          <w:tcPr>
            <w:tcW w:w="743" w:type="dxa"/>
            <w:gridSpan w:val="2"/>
          </w:tcPr>
          <w:p w14:paraId="2E7D7C6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0.346</w:t>
            </w:r>
          </w:p>
        </w:tc>
      </w:tr>
      <w:tr w:rsidR="00A3140A" w:rsidRPr="00EB6639" w14:paraId="3F7F96BC" w14:textId="77777777" w:rsidTr="00E72C1E">
        <w:trPr>
          <w:gridAfter w:val="1"/>
          <w:wAfter w:w="7" w:type="dxa"/>
        </w:trPr>
        <w:tc>
          <w:tcPr>
            <w:tcW w:w="1080" w:type="dxa"/>
            <w:vAlign w:val="center"/>
          </w:tcPr>
          <w:p w14:paraId="610095F3"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PA</w:t>
            </w:r>
          </w:p>
        </w:tc>
        <w:tc>
          <w:tcPr>
            <w:tcW w:w="810" w:type="dxa"/>
            <w:vAlign w:val="center"/>
          </w:tcPr>
          <w:p w14:paraId="6E8588C8"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-0.059</w:t>
            </w:r>
          </w:p>
        </w:tc>
        <w:tc>
          <w:tcPr>
            <w:tcW w:w="810" w:type="dxa"/>
            <w:vAlign w:val="center"/>
          </w:tcPr>
          <w:p w14:paraId="13DD4404"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0.252</w:t>
            </w:r>
          </w:p>
        </w:tc>
        <w:tc>
          <w:tcPr>
            <w:tcW w:w="804" w:type="dxa"/>
          </w:tcPr>
          <w:p w14:paraId="2A86FB8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0.475</w:t>
            </w:r>
          </w:p>
        </w:tc>
        <w:tc>
          <w:tcPr>
            <w:tcW w:w="726" w:type="dxa"/>
            <w:vAlign w:val="center"/>
          </w:tcPr>
          <w:p w14:paraId="176C8572"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0.502</w:t>
            </w:r>
          </w:p>
        </w:tc>
        <w:tc>
          <w:tcPr>
            <w:tcW w:w="732" w:type="dxa"/>
          </w:tcPr>
          <w:p w14:paraId="3948359D"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0.022</w:t>
            </w:r>
          </w:p>
        </w:tc>
        <w:tc>
          <w:tcPr>
            <w:tcW w:w="760" w:type="dxa"/>
            <w:gridSpan w:val="2"/>
          </w:tcPr>
          <w:p w14:paraId="223DA1A7"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0.021</w:t>
            </w:r>
          </w:p>
        </w:tc>
        <w:tc>
          <w:tcPr>
            <w:tcW w:w="902" w:type="dxa"/>
          </w:tcPr>
          <w:p w14:paraId="316F4070"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0.351</w:t>
            </w:r>
          </w:p>
        </w:tc>
        <w:tc>
          <w:tcPr>
            <w:tcW w:w="740" w:type="dxa"/>
          </w:tcPr>
          <w:p w14:paraId="1407C814"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0.568</w:t>
            </w:r>
          </w:p>
        </w:tc>
        <w:tc>
          <w:tcPr>
            <w:tcW w:w="666" w:type="dxa"/>
            <w:gridSpan w:val="2"/>
          </w:tcPr>
          <w:p w14:paraId="0993745F"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0.882</w:t>
            </w:r>
          </w:p>
        </w:tc>
        <w:tc>
          <w:tcPr>
            <w:tcW w:w="742" w:type="dxa"/>
            <w:gridSpan w:val="2"/>
          </w:tcPr>
          <w:p w14:paraId="78E4107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0.778</w:t>
            </w:r>
          </w:p>
        </w:tc>
        <w:tc>
          <w:tcPr>
            <w:tcW w:w="743" w:type="dxa"/>
            <w:gridSpan w:val="2"/>
          </w:tcPr>
          <w:p w14:paraId="605888A9"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0.322</w:t>
            </w:r>
          </w:p>
        </w:tc>
      </w:tr>
    </w:tbl>
    <w:p w14:paraId="1CC66DE2" w14:textId="038E77A4" w:rsidR="00A3140A" w:rsidRPr="00A47525" w:rsidRDefault="00A3140A" w:rsidP="00A47525">
      <w:pPr>
        <w:spacing w:before="120" w:after="120" w:line="240" w:lineRule="auto"/>
        <w:jc w:val="both"/>
        <w:rPr>
          <w:rFonts w:cs="Times New Roman"/>
          <w:sz w:val="22"/>
        </w:rPr>
      </w:pPr>
      <w:r w:rsidRPr="00E72C1E">
        <w:rPr>
          <w:rFonts w:cs="Times New Roman"/>
          <w:b/>
          <w:iCs/>
          <w:sz w:val="22"/>
        </w:rPr>
        <w:t>Note</w:t>
      </w:r>
      <w:r w:rsidR="00E72C1E">
        <w:rPr>
          <w:rFonts w:cs="Times New Roman"/>
          <w:b/>
          <w:iCs/>
          <w:sz w:val="22"/>
        </w:rPr>
        <w:t xml:space="preserve">: </w:t>
      </w:r>
      <w:r w:rsidRPr="00A47525">
        <w:rPr>
          <w:rFonts w:cs="Times New Roman"/>
          <w:sz w:val="22"/>
        </w:rPr>
        <w:t>The bold diagonal elements represent the square roots of the average variance extracted (√AVE); the off-diagonal elements indicate the inter-construct correlations; HE: hedonism; NO: Novelty; CUL: Local cuture; RE: Refreshment; MEA: Meaningfulnes; INV: Involvement; KNOW: Knowledge; PA: Place attachment; GBI: Green behavio</w:t>
      </w:r>
      <w:r w:rsidR="00B31722">
        <w:rPr>
          <w:rFonts w:cs="Times New Roman"/>
          <w:sz w:val="22"/>
        </w:rPr>
        <w:t>u</w:t>
      </w:r>
      <w:r w:rsidRPr="00A47525">
        <w:rPr>
          <w:rFonts w:cs="Times New Roman"/>
          <w:sz w:val="22"/>
        </w:rPr>
        <w:t>r</w:t>
      </w:r>
      <w:r w:rsidR="00B31722">
        <w:rPr>
          <w:rFonts w:cs="Times New Roman"/>
          <w:sz w:val="22"/>
        </w:rPr>
        <w:t>al</w:t>
      </w:r>
      <w:r w:rsidRPr="00A47525">
        <w:rPr>
          <w:rFonts w:cs="Times New Roman"/>
          <w:sz w:val="22"/>
        </w:rPr>
        <w:t xml:space="preserve"> intention</w:t>
      </w:r>
      <w:r w:rsidR="00B31722">
        <w:rPr>
          <w:rFonts w:cs="Times New Roman"/>
          <w:sz w:val="22"/>
        </w:rPr>
        <w:t>s</w:t>
      </w:r>
      <w:r w:rsidRPr="00A47525">
        <w:rPr>
          <w:rFonts w:cs="Times New Roman"/>
          <w:sz w:val="22"/>
        </w:rPr>
        <w:t>.</w:t>
      </w:r>
    </w:p>
    <w:p w14:paraId="0793DE45" w14:textId="77777777" w:rsidR="00E72C1E" w:rsidRDefault="00E72C1E" w:rsidP="00FE198B">
      <w:pPr>
        <w:pStyle w:val="Heading2"/>
        <w:sectPr w:rsidR="00E72C1E" w:rsidSect="00E72C1E">
          <w:type w:val="continuous"/>
          <w:pgSz w:w="12240" w:h="15840"/>
          <w:pgMar w:top="1134" w:right="1134" w:bottom="1134" w:left="1418" w:header="720" w:footer="720" w:gutter="0"/>
          <w:cols w:space="720"/>
          <w:docGrid w:linePitch="360"/>
        </w:sectPr>
      </w:pPr>
    </w:p>
    <w:p w14:paraId="03724ACD" w14:textId="5F1018CA" w:rsidR="00A3140A" w:rsidRPr="00A47525" w:rsidRDefault="00AF56B0" w:rsidP="00FE198B">
      <w:pPr>
        <w:pStyle w:val="Heading2"/>
        <w:rPr>
          <w:rStyle w:val="Strong"/>
          <w:bCs w:val="0"/>
        </w:rPr>
      </w:pPr>
      <w:r>
        <w:t xml:space="preserve">4.5. </w:t>
      </w:r>
      <w:r w:rsidR="00A3140A" w:rsidRPr="00A47525">
        <w:t>Structural model and Hypothesis testing</w:t>
      </w:r>
    </w:p>
    <w:p w14:paraId="2AD667AF" w14:textId="53B9329A" w:rsidR="00A3140A" w:rsidRPr="00A47525" w:rsidRDefault="00A3140A" w:rsidP="00B011E4">
      <w:pPr>
        <w:spacing w:before="120" w:after="120" w:line="240" w:lineRule="auto"/>
        <w:ind w:firstLine="720"/>
        <w:jc w:val="both"/>
        <w:rPr>
          <w:rFonts w:cs="Times New Roman"/>
          <w:sz w:val="22"/>
        </w:rPr>
      </w:pPr>
      <w:r w:rsidRPr="00A47525">
        <w:rPr>
          <w:rFonts w:cs="Times New Roman"/>
          <w:sz w:val="22"/>
        </w:rPr>
        <w:t>The structural model exhibited an acceptable fit to the data</w:t>
      </w:r>
      <w:r w:rsidRPr="00A47525">
        <w:rPr>
          <w:rFonts w:eastAsia="Times New Roman" w:cs="Times New Roman"/>
          <w:sz w:val="22"/>
          <w:lang w:eastAsia="ja-JP"/>
        </w:rPr>
        <w:t xml:space="preserve"> . The results (Figure 2) show that the indices P = 0.000 (&lt; 0.005); CMIN/df = 2.939; TLI = 0.900 ; CFI = 0.912; RMSEA = 0.072. </w:t>
      </w:r>
      <w:r w:rsidRPr="00A47525">
        <w:rPr>
          <w:rFonts w:cs="Times New Roman"/>
          <w:sz w:val="22"/>
        </w:rPr>
        <w:t>These values exceed commonly recommended thresholds for SEM, indicating that the proposed structural model provided an adequate fit to the observed data</w:t>
      </w:r>
      <w:r w:rsidR="00607784">
        <w:rPr>
          <w:rFonts w:cs="Times New Roman"/>
          <w:sz w:val="22"/>
        </w:rPr>
        <w:t xml:space="preserve"> [42]</w:t>
      </w:r>
      <w:r w:rsidRPr="00A47525">
        <w:rPr>
          <w:rFonts w:cs="Times New Roman"/>
          <w:sz w:val="22"/>
        </w:rPr>
        <w:t>. On this basis, the path coefficients were estimated and evaluated for hypothesis testing.</w:t>
      </w:r>
      <w:r w:rsidR="00B011E4">
        <w:rPr>
          <w:rFonts w:cs="Times New Roman"/>
          <w:sz w:val="22"/>
        </w:rPr>
        <w:t xml:space="preserve"> </w:t>
      </w:r>
      <w:r w:rsidRPr="00A47525">
        <w:rPr>
          <w:rFonts w:cs="Times New Roman"/>
          <w:sz w:val="22"/>
        </w:rPr>
        <w:t xml:space="preserve">Table 4 reports the standardized path coefficients. The results indicate that several dimensions of </w:t>
      </w:r>
      <w:r w:rsidR="00F73A76">
        <w:rPr>
          <w:rFonts w:cs="Times New Roman"/>
          <w:sz w:val="22"/>
        </w:rPr>
        <w:t>MTE</w:t>
      </w:r>
      <w:r w:rsidRPr="00A47525">
        <w:rPr>
          <w:rFonts w:cs="Times New Roman"/>
          <w:sz w:val="22"/>
        </w:rPr>
        <w:t xml:space="preserve"> significantly influenced</w:t>
      </w:r>
      <w:r w:rsidR="00F73A76">
        <w:rPr>
          <w:rFonts w:cs="Times New Roman"/>
          <w:sz w:val="22"/>
        </w:rPr>
        <w:t xml:space="preserve"> PA</w:t>
      </w:r>
      <w:r w:rsidRPr="00A47525">
        <w:rPr>
          <w:rFonts w:cs="Times New Roman"/>
          <w:sz w:val="22"/>
        </w:rPr>
        <w:t>. Specifically, local culture (β = 0.267, p &lt; 0.001), refreshment (β = 0.348, p &lt; 0.001), and knowledge (β = 0.125, p &lt; 0.05) exerted positive and statistically significant effects, supporting H1, H4 and H7. In contrast, remaining dimensions did not have a statistically significant effect on</w:t>
      </w:r>
      <w:r w:rsidR="00F73A76">
        <w:rPr>
          <w:rFonts w:cs="Times New Roman"/>
          <w:sz w:val="22"/>
        </w:rPr>
        <w:t xml:space="preserve"> PA</w:t>
      </w:r>
      <w:r w:rsidRPr="00A47525">
        <w:rPr>
          <w:rFonts w:cs="Times New Roman"/>
          <w:sz w:val="22"/>
        </w:rPr>
        <w:t>; therefore, H2, H3, H5, and H6 were not supported.</w:t>
      </w:r>
      <w:r w:rsidR="00B011E4">
        <w:rPr>
          <w:rFonts w:cs="Times New Roman"/>
          <w:sz w:val="22"/>
        </w:rPr>
        <w:t xml:space="preserve"> </w:t>
      </w:r>
      <w:r w:rsidRPr="00A47525">
        <w:rPr>
          <w:rFonts w:cs="Times New Roman"/>
          <w:sz w:val="22"/>
        </w:rPr>
        <w:t xml:space="preserve">Place attachment, in turn, had a positive effect on </w:t>
      </w:r>
      <w:r w:rsidR="00F73A76">
        <w:rPr>
          <w:rFonts w:cs="Times New Roman"/>
          <w:sz w:val="22"/>
        </w:rPr>
        <w:t>GBI</w:t>
      </w:r>
      <w:r w:rsidRPr="00A47525">
        <w:rPr>
          <w:rFonts w:cs="Times New Roman"/>
          <w:sz w:val="22"/>
        </w:rPr>
        <w:t xml:space="preserve"> (β = 0.570, p &lt; 0.001), indicating that tourists who feel more emotionally and functionally attached to the destination are more likely to engage in environmentally responsible behaviours.</w:t>
      </w:r>
    </w:p>
    <w:p w14:paraId="7E545E31" w14:textId="77777777" w:rsidR="00A3140A" w:rsidRPr="00A47525" w:rsidRDefault="00A3140A" w:rsidP="00A47525">
      <w:pPr>
        <w:spacing w:before="120" w:after="120" w:line="240" w:lineRule="auto"/>
        <w:jc w:val="both"/>
        <w:rPr>
          <w:rFonts w:cs="Times New Roman"/>
          <w:sz w:val="22"/>
        </w:rPr>
      </w:pPr>
    </w:p>
    <w:p w14:paraId="05AE71CB" w14:textId="77777777" w:rsidR="00A3140A" w:rsidRPr="00A47525" w:rsidRDefault="00A3140A" w:rsidP="00A47525">
      <w:pPr>
        <w:pStyle w:val="NormalWeb"/>
        <w:spacing w:before="120" w:beforeAutospacing="0" w:after="120" w:afterAutospacing="0"/>
        <w:jc w:val="both"/>
        <w:rPr>
          <w:sz w:val="22"/>
          <w:szCs w:val="22"/>
        </w:rPr>
      </w:pPr>
    </w:p>
    <w:p w14:paraId="1D2F7F5A" w14:textId="77777777" w:rsidR="00E72C1E" w:rsidRDefault="00E72C1E" w:rsidP="00A47525">
      <w:pPr>
        <w:pStyle w:val="NormalWeb"/>
        <w:spacing w:before="120" w:beforeAutospacing="0" w:after="120" w:afterAutospacing="0"/>
        <w:jc w:val="both"/>
        <w:rPr>
          <w:sz w:val="22"/>
          <w:szCs w:val="22"/>
        </w:rPr>
        <w:sectPr w:rsidR="00E72C1E" w:rsidSect="00E72C1E">
          <w:type w:val="continuous"/>
          <w:pgSz w:w="12240" w:h="15840"/>
          <w:pgMar w:top="1134" w:right="1134" w:bottom="1134" w:left="1418" w:header="720" w:footer="720" w:gutter="0"/>
          <w:cols w:num="2" w:space="720"/>
          <w:docGrid w:linePitch="360"/>
        </w:sectPr>
      </w:pPr>
    </w:p>
    <w:p w14:paraId="1050331E" w14:textId="4EC2AB39" w:rsidR="00A3140A" w:rsidRPr="00A47525" w:rsidRDefault="00A3140A" w:rsidP="00A47525">
      <w:pPr>
        <w:pStyle w:val="NormalWeb"/>
        <w:spacing w:before="120" w:beforeAutospacing="0" w:after="120" w:afterAutospacing="0"/>
        <w:jc w:val="both"/>
        <w:rPr>
          <w:sz w:val="22"/>
          <w:szCs w:val="22"/>
        </w:rPr>
      </w:pPr>
      <w:r w:rsidRPr="00EB6639">
        <w:rPr>
          <w:noProof/>
          <w:sz w:val="20"/>
          <w:szCs w:val="20"/>
          <w14:ligatures w14:val="standardContextual"/>
        </w:rPr>
        <w:drawing>
          <wp:inline distT="0" distB="0" distL="0" distR="0" wp14:anchorId="56DE1223" wp14:editId="15A76E82">
            <wp:extent cx="5943600" cy="53831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6865" cy="5395176"/>
                    </a:xfrm>
                    <a:prstGeom prst="rect">
                      <a:avLst/>
                    </a:prstGeom>
                  </pic:spPr>
                </pic:pic>
              </a:graphicData>
            </a:graphic>
          </wp:inline>
        </w:drawing>
      </w:r>
    </w:p>
    <w:p w14:paraId="6FC5CC7A" w14:textId="77777777" w:rsidR="00A3140A" w:rsidRPr="00EB6639" w:rsidRDefault="00A3140A" w:rsidP="00EB6639">
      <w:pPr>
        <w:pStyle w:val="NormalWeb"/>
        <w:spacing w:before="120" w:beforeAutospacing="0" w:after="120" w:afterAutospacing="0"/>
        <w:ind w:firstLine="720"/>
        <w:jc w:val="both"/>
        <w:rPr>
          <w:b/>
          <w:bCs/>
          <w:sz w:val="20"/>
          <w:szCs w:val="20"/>
        </w:rPr>
      </w:pPr>
      <w:r w:rsidRPr="00EB6639">
        <w:rPr>
          <w:rStyle w:val="Strong"/>
          <w:rFonts w:eastAsiaTheme="majorEastAsia"/>
          <w:sz w:val="20"/>
          <w:szCs w:val="20"/>
        </w:rPr>
        <w:t>Figure 2: Results of the Proposed Research Model Testing</w:t>
      </w:r>
    </w:p>
    <w:p w14:paraId="6BAB3B4F" w14:textId="77777777" w:rsidR="00E72C1E" w:rsidRDefault="00E72C1E">
      <w:pPr>
        <w:rPr>
          <w:rFonts w:cs="Times New Roman"/>
          <w:b/>
          <w:bCs/>
          <w:sz w:val="22"/>
        </w:rPr>
      </w:pPr>
      <w:bookmarkStart w:id="4" w:name="_Hlk217288857"/>
      <w:r>
        <w:rPr>
          <w:rFonts w:cs="Times New Roman"/>
          <w:b/>
          <w:bCs/>
          <w:sz w:val="22"/>
        </w:rPr>
        <w:br w:type="page"/>
      </w:r>
    </w:p>
    <w:p w14:paraId="18B27372" w14:textId="534726E0" w:rsidR="00A3140A" w:rsidRPr="00EB6639" w:rsidRDefault="00A3140A" w:rsidP="00EB6639">
      <w:pPr>
        <w:spacing w:before="240" w:after="120" w:line="240" w:lineRule="auto"/>
        <w:jc w:val="both"/>
        <w:rPr>
          <w:rFonts w:cs="Times New Roman"/>
          <w:b/>
          <w:bCs/>
          <w:sz w:val="20"/>
          <w:szCs w:val="20"/>
        </w:rPr>
      </w:pPr>
      <w:r w:rsidRPr="00EB6639">
        <w:rPr>
          <w:rFonts w:cs="Times New Roman"/>
          <w:b/>
          <w:bCs/>
          <w:sz w:val="20"/>
          <w:szCs w:val="20"/>
        </w:rPr>
        <w:t>Table 4</w:t>
      </w:r>
      <w:r w:rsidR="00E72C1E" w:rsidRPr="00EB6639">
        <w:rPr>
          <w:rFonts w:cs="Times New Roman"/>
          <w:b/>
          <w:bCs/>
          <w:sz w:val="20"/>
          <w:szCs w:val="20"/>
        </w:rPr>
        <w:t xml:space="preserve">. </w:t>
      </w:r>
      <w:r w:rsidRPr="00EB6639">
        <w:rPr>
          <w:rFonts w:cs="Times New Roman"/>
          <w:sz w:val="20"/>
          <w:szCs w:val="20"/>
        </w:rPr>
        <w:t xml:space="preserve"> Hypothesis testing results</w:t>
      </w:r>
    </w:p>
    <w:tbl>
      <w:tblPr>
        <w:tblStyle w:val="TableGrid"/>
        <w:tblW w:w="9225" w:type="dxa"/>
        <w:tblLook w:val="04A0" w:firstRow="1" w:lastRow="0" w:firstColumn="1" w:lastColumn="0" w:noHBand="0" w:noVBand="1"/>
      </w:tblPr>
      <w:tblGrid>
        <w:gridCol w:w="1820"/>
        <w:gridCol w:w="2337"/>
        <w:gridCol w:w="1817"/>
        <w:gridCol w:w="1338"/>
        <w:gridCol w:w="1913"/>
      </w:tblGrid>
      <w:tr w:rsidR="00A3140A" w:rsidRPr="00EB6639" w14:paraId="39350194" w14:textId="77777777" w:rsidTr="00E72C1E">
        <w:trPr>
          <w:trHeight w:val="356"/>
        </w:trPr>
        <w:tc>
          <w:tcPr>
            <w:tcW w:w="1820" w:type="dxa"/>
            <w:vAlign w:val="center"/>
          </w:tcPr>
          <w:p w14:paraId="0BF4083A" w14:textId="77777777" w:rsidR="00A3140A" w:rsidRPr="00EB6639" w:rsidRDefault="00A3140A" w:rsidP="00EB6639">
            <w:pPr>
              <w:spacing w:before="240" w:after="120"/>
              <w:jc w:val="both"/>
              <w:rPr>
                <w:rFonts w:ascii="Times New Roman" w:hAnsi="Times New Roman" w:cs="Times New Roman"/>
                <w:b/>
                <w:bCs/>
                <w:sz w:val="20"/>
                <w:szCs w:val="20"/>
              </w:rPr>
            </w:pPr>
            <w:bookmarkStart w:id="5" w:name="_Hlk217313461"/>
            <w:r w:rsidRPr="00EB6639">
              <w:rPr>
                <w:rFonts w:ascii="Times New Roman" w:hAnsi="Times New Roman" w:cs="Times New Roman"/>
                <w:b/>
                <w:bCs/>
                <w:sz w:val="20"/>
                <w:szCs w:val="20"/>
              </w:rPr>
              <w:t>Hypothesis</w:t>
            </w:r>
          </w:p>
        </w:tc>
        <w:tc>
          <w:tcPr>
            <w:tcW w:w="2337" w:type="dxa"/>
            <w:vAlign w:val="center"/>
          </w:tcPr>
          <w:p w14:paraId="2BEC6161"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Paths</w:t>
            </w:r>
          </w:p>
        </w:tc>
        <w:tc>
          <w:tcPr>
            <w:tcW w:w="1817" w:type="dxa"/>
            <w:vAlign w:val="center"/>
          </w:tcPr>
          <w:p w14:paraId="26608495"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Estimated</w:t>
            </w:r>
          </w:p>
        </w:tc>
        <w:tc>
          <w:tcPr>
            <w:tcW w:w="1338" w:type="dxa"/>
            <w:vAlign w:val="center"/>
          </w:tcPr>
          <w:p w14:paraId="5FCB0066" w14:textId="77777777" w:rsidR="00A3140A" w:rsidRPr="00EB6639" w:rsidRDefault="00A3140A" w:rsidP="00EB6639">
            <w:pPr>
              <w:spacing w:before="240" w:after="120"/>
              <w:ind w:right="-24"/>
              <w:jc w:val="both"/>
              <w:rPr>
                <w:rFonts w:ascii="Times New Roman" w:hAnsi="Times New Roman" w:cs="Times New Roman"/>
                <w:b/>
                <w:bCs/>
                <w:sz w:val="20"/>
                <w:szCs w:val="20"/>
              </w:rPr>
            </w:pPr>
            <w:r w:rsidRPr="00EB6639">
              <w:rPr>
                <w:rFonts w:ascii="Times New Roman" w:hAnsi="Times New Roman" w:cs="Times New Roman"/>
                <w:b/>
                <w:bCs/>
                <w:sz w:val="20"/>
                <w:szCs w:val="20"/>
              </w:rPr>
              <w:t>p-value</w:t>
            </w:r>
          </w:p>
        </w:tc>
        <w:tc>
          <w:tcPr>
            <w:tcW w:w="1913" w:type="dxa"/>
            <w:vAlign w:val="center"/>
          </w:tcPr>
          <w:p w14:paraId="09DB32B5"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b/>
                <w:bCs/>
                <w:sz w:val="20"/>
                <w:szCs w:val="20"/>
              </w:rPr>
              <w:t>Result</w:t>
            </w:r>
          </w:p>
        </w:tc>
      </w:tr>
      <w:tr w:rsidR="00A3140A" w:rsidRPr="00EB6639" w14:paraId="22A70FE6" w14:textId="77777777" w:rsidTr="00E72C1E">
        <w:trPr>
          <w:trHeight w:val="339"/>
        </w:trPr>
        <w:tc>
          <w:tcPr>
            <w:tcW w:w="1820" w:type="dxa"/>
            <w:vAlign w:val="center"/>
          </w:tcPr>
          <w:p w14:paraId="418A4A9B"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H1</w:t>
            </w:r>
          </w:p>
        </w:tc>
        <w:tc>
          <w:tcPr>
            <w:tcW w:w="2337" w:type="dxa"/>
            <w:vAlign w:val="center"/>
          </w:tcPr>
          <w:p w14:paraId="715CECDB"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 xml:space="preserve">HE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PA</w:t>
            </w:r>
          </w:p>
        </w:tc>
        <w:tc>
          <w:tcPr>
            <w:tcW w:w="1817" w:type="dxa"/>
            <w:vAlign w:val="center"/>
          </w:tcPr>
          <w:p w14:paraId="14F77184"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-.045</w:t>
            </w:r>
          </w:p>
        </w:tc>
        <w:tc>
          <w:tcPr>
            <w:tcW w:w="1338" w:type="dxa"/>
            <w:vAlign w:val="center"/>
          </w:tcPr>
          <w:p w14:paraId="73CA946A"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.465</w:t>
            </w:r>
          </w:p>
        </w:tc>
        <w:tc>
          <w:tcPr>
            <w:tcW w:w="1913" w:type="dxa"/>
            <w:vAlign w:val="center"/>
          </w:tcPr>
          <w:p w14:paraId="3DACA0F1"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Unsupported</w:t>
            </w:r>
          </w:p>
        </w:tc>
      </w:tr>
      <w:tr w:rsidR="00A3140A" w:rsidRPr="00EB6639" w14:paraId="174AD1C5" w14:textId="77777777" w:rsidTr="00E72C1E">
        <w:trPr>
          <w:trHeight w:val="356"/>
        </w:trPr>
        <w:tc>
          <w:tcPr>
            <w:tcW w:w="1820" w:type="dxa"/>
            <w:vAlign w:val="center"/>
          </w:tcPr>
          <w:p w14:paraId="7E19B5EE"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H2</w:t>
            </w:r>
          </w:p>
        </w:tc>
        <w:tc>
          <w:tcPr>
            <w:tcW w:w="2337" w:type="dxa"/>
            <w:vAlign w:val="center"/>
          </w:tcPr>
          <w:p w14:paraId="3B656153"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 xml:space="preserve">NO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PA</w:t>
            </w:r>
          </w:p>
        </w:tc>
        <w:tc>
          <w:tcPr>
            <w:tcW w:w="1817" w:type="dxa"/>
            <w:vAlign w:val="center"/>
          </w:tcPr>
          <w:p w14:paraId="3B537C5A"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-.020</w:t>
            </w:r>
          </w:p>
        </w:tc>
        <w:tc>
          <w:tcPr>
            <w:tcW w:w="1338" w:type="dxa"/>
            <w:vAlign w:val="center"/>
          </w:tcPr>
          <w:p w14:paraId="0CD66250"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.647</w:t>
            </w:r>
          </w:p>
        </w:tc>
        <w:tc>
          <w:tcPr>
            <w:tcW w:w="1913" w:type="dxa"/>
            <w:vAlign w:val="center"/>
          </w:tcPr>
          <w:p w14:paraId="178653D5"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Unsupported</w:t>
            </w:r>
          </w:p>
        </w:tc>
      </w:tr>
      <w:tr w:rsidR="00A3140A" w:rsidRPr="00EB6639" w14:paraId="738CA330" w14:textId="77777777" w:rsidTr="00E72C1E">
        <w:trPr>
          <w:trHeight w:val="356"/>
        </w:trPr>
        <w:tc>
          <w:tcPr>
            <w:tcW w:w="1820" w:type="dxa"/>
            <w:vAlign w:val="center"/>
          </w:tcPr>
          <w:p w14:paraId="2C5E3FAB"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H3</w:t>
            </w:r>
          </w:p>
        </w:tc>
        <w:tc>
          <w:tcPr>
            <w:tcW w:w="2337" w:type="dxa"/>
            <w:vAlign w:val="center"/>
          </w:tcPr>
          <w:p w14:paraId="36BD5970"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 xml:space="preserve">CUL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PA</w:t>
            </w:r>
          </w:p>
        </w:tc>
        <w:tc>
          <w:tcPr>
            <w:tcW w:w="1817" w:type="dxa"/>
            <w:vAlign w:val="center"/>
          </w:tcPr>
          <w:p w14:paraId="191D011F"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.267</w:t>
            </w:r>
          </w:p>
        </w:tc>
        <w:tc>
          <w:tcPr>
            <w:tcW w:w="1338" w:type="dxa"/>
            <w:vAlign w:val="center"/>
          </w:tcPr>
          <w:p w14:paraId="08C0B72A"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w:t>
            </w:r>
          </w:p>
        </w:tc>
        <w:tc>
          <w:tcPr>
            <w:tcW w:w="1913" w:type="dxa"/>
            <w:vAlign w:val="center"/>
          </w:tcPr>
          <w:p w14:paraId="643F82DF"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Supported</w:t>
            </w:r>
          </w:p>
        </w:tc>
      </w:tr>
      <w:tr w:rsidR="00A3140A" w:rsidRPr="00EB6639" w14:paraId="731BBE04" w14:textId="77777777" w:rsidTr="00E72C1E">
        <w:trPr>
          <w:trHeight w:val="339"/>
        </w:trPr>
        <w:tc>
          <w:tcPr>
            <w:tcW w:w="1820" w:type="dxa"/>
            <w:vAlign w:val="center"/>
          </w:tcPr>
          <w:p w14:paraId="755D6424"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H4</w:t>
            </w:r>
          </w:p>
        </w:tc>
        <w:tc>
          <w:tcPr>
            <w:tcW w:w="2337" w:type="dxa"/>
            <w:vAlign w:val="center"/>
          </w:tcPr>
          <w:p w14:paraId="1AD7B516"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 xml:space="preserve">RE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PA</w:t>
            </w:r>
          </w:p>
        </w:tc>
        <w:tc>
          <w:tcPr>
            <w:tcW w:w="1817" w:type="dxa"/>
            <w:vAlign w:val="center"/>
          </w:tcPr>
          <w:p w14:paraId="604AD82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.348</w:t>
            </w:r>
          </w:p>
        </w:tc>
        <w:tc>
          <w:tcPr>
            <w:tcW w:w="1338" w:type="dxa"/>
            <w:vAlign w:val="center"/>
          </w:tcPr>
          <w:p w14:paraId="3252E466"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w:t>
            </w:r>
          </w:p>
        </w:tc>
        <w:tc>
          <w:tcPr>
            <w:tcW w:w="1913" w:type="dxa"/>
            <w:vAlign w:val="center"/>
          </w:tcPr>
          <w:p w14:paraId="3110F88B"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Supported</w:t>
            </w:r>
          </w:p>
        </w:tc>
      </w:tr>
      <w:tr w:rsidR="00A3140A" w:rsidRPr="00EB6639" w14:paraId="35FECCDF" w14:textId="77777777" w:rsidTr="00E72C1E">
        <w:trPr>
          <w:trHeight w:val="356"/>
        </w:trPr>
        <w:tc>
          <w:tcPr>
            <w:tcW w:w="1820" w:type="dxa"/>
            <w:vAlign w:val="center"/>
          </w:tcPr>
          <w:p w14:paraId="0A559146"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H5</w:t>
            </w:r>
          </w:p>
        </w:tc>
        <w:tc>
          <w:tcPr>
            <w:tcW w:w="2337" w:type="dxa"/>
            <w:vAlign w:val="center"/>
          </w:tcPr>
          <w:p w14:paraId="0FB2DA9D"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 xml:space="preserve">MEA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PA</w:t>
            </w:r>
          </w:p>
        </w:tc>
        <w:tc>
          <w:tcPr>
            <w:tcW w:w="1817" w:type="dxa"/>
            <w:vAlign w:val="center"/>
          </w:tcPr>
          <w:p w14:paraId="5B7964A4"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.003</w:t>
            </w:r>
          </w:p>
        </w:tc>
        <w:tc>
          <w:tcPr>
            <w:tcW w:w="1338" w:type="dxa"/>
            <w:vAlign w:val="center"/>
          </w:tcPr>
          <w:p w14:paraId="5B16DCD7"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.919</w:t>
            </w:r>
          </w:p>
        </w:tc>
        <w:tc>
          <w:tcPr>
            <w:tcW w:w="1913" w:type="dxa"/>
            <w:vAlign w:val="center"/>
          </w:tcPr>
          <w:p w14:paraId="17230836"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Unsupported</w:t>
            </w:r>
          </w:p>
        </w:tc>
      </w:tr>
      <w:tr w:rsidR="00A3140A" w:rsidRPr="00EB6639" w14:paraId="72903AB8" w14:textId="77777777" w:rsidTr="00E72C1E">
        <w:trPr>
          <w:trHeight w:val="356"/>
        </w:trPr>
        <w:tc>
          <w:tcPr>
            <w:tcW w:w="1820" w:type="dxa"/>
            <w:vAlign w:val="center"/>
          </w:tcPr>
          <w:p w14:paraId="0B0644E8"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H6</w:t>
            </w:r>
          </w:p>
        </w:tc>
        <w:tc>
          <w:tcPr>
            <w:tcW w:w="2337" w:type="dxa"/>
            <w:vAlign w:val="center"/>
          </w:tcPr>
          <w:p w14:paraId="0A8E2D1C"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 xml:space="preserve">INV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PA</w:t>
            </w:r>
          </w:p>
        </w:tc>
        <w:tc>
          <w:tcPr>
            <w:tcW w:w="1817" w:type="dxa"/>
            <w:vAlign w:val="center"/>
          </w:tcPr>
          <w:p w14:paraId="0B6540D3"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-.016</w:t>
            </w:r>
          </w:p>
        </w:tc>
        <w:tc>
          <w:tcPr>
            <w:tcW w:w="1338" w:type="dxa"/>
            <w:vAlign w:val="center"/>
          </w:tcPr>
          <w:p w14:paraId="4674943A"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.726</w:t>
            </w:r>
          </w:p>
        </w:tc>
        <w:tc>
          <w:tcPr>
            <w:tcW w:w="1913" w:type="dxa"/>
            <w:vAlign w:val="center"/>
          </w:tcPr>
          <w:p w14:paraId="01674A0B"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Unsupported</w:t>
            </w:r>
          </w:p>
        </w:tc>
      </w:tr>
      <w:tr w:rsidR="00A3140A" w:rsidRPr="00EB6639" w14:paraId="0C0A3459" w14:textId="77777777" w:rsidTr="00E72C1E">
        <w:trPr>
          <w:trHeight w:val="339"/>
        </w:trPr>
        <w:tc>
          <w:tcPr>
            <w:tcW w:w="1820" w:type="dxa"/>
            <w:vAlign w:val="center"/>
          </w:tcPr>
          <w:p w14:paraId="2229A3ED"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H7</w:t>
            </w:r>
          </w:p>
        </w:tc>
        <w:tc>
          <w:tcPr>
            <w:tcW w:w="2337" w:type="dxa"/>
            <w:vAlign w:val="center"/>
          </w:tcPr>
          <w:p w14:paraId="32827C83"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 xml:space="preserve">KNO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PA</w:t>
            </w:r>
          </w:p>
        </w:tc>
        <w:tc>
          <w:tcPr>
            <w:tcW w:w="1817" w:type="dxa"/>
            <w:vAlign w:val="center"/>
          </w:tcPr>
          <w:p w14:paraId="52EF770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.125</w:t>
            </w:r>
          </w:p>
        </w:tc>
        <w:tc>
          <w:tcPr>
            <w:tcW w:w="1338" w:type="dxa"/>
            <w:vAlign w:val="center"/>
          </w:tcPr>
          <w:p w14:paraId="47B5D4F4"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.015</w:t>
            </w:r>
          </w:p>
        </w:tc>
        <w:tc>
          <w:tcPr>
            <w:tcW w:w="1913" w:type="dxa"/>
            <w:vAlign w:val="center"/>
          </w:tcPr>
          <w:p w14:paraId="25B78230" w14:textId="77777777" w:rsidR="00A3140A" w:rsidRPr="00EB6639" w:rsidRDefault="00A3140A" w:rsidP="00EB6639">
            <w:pPr>
              <w:spacing w:before="240" w:after="120"/>
              <w:jc w:val="both"/>
              <w:rPr>
                <w:rFonts w:ascii="Times New Roman" w:hAnsi="Times New Roman" w:cs="Times New Roman"/>
                <w:b/>
                <w:bCs/>
                <w:sz w:val="20"/>
                <w:szCs w:val="20"/>
              </w:rPr>
            </w:pPr>
            <w:r w:rsidRPr="00EB6639">
              <w:rPr>
                <w:rFonts w:ascii="Times New Roman" w:hAnsi="Times New Roman" w:cs="Times New Roman"/>
                <w:sz w:val="20"/>
                <w:szCs w:val="20"/>
              </w:rPr>
              <w:t>Supported</w:t>
            </w:r>
          </w:p>
        </w:tc>
      </w:tr>
      <w:tr w:rsidR="00A3140A" w:rsidRPr="00EB6639" w14:paraId="1DFB297A" w14:textId="77777777" w:rsidTr="00E72C1E">
        <w:trPr>
          <w:trHeight w:val="356"/>
        </w:trPr>
        <w:tc>
          <w:tcPr>
            <w:tcW w:w="1820" w:type="dxa"/>
            <w:vAlign w:val="center"/>
          </w:tcPr>
          <w:p w14:paraId="7E86E3B0"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H8</w:t>
            </w:r>
          </w:p>
        </w:tc>
        <w:tc>
          <w:tcPr>
            <w:tcW w:w="2337" w:type="dxa"/>
            <w:vAlign w:val="center"/>
          </w:tcPr>
          <w:p w14:paraId="17D9E155"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 xml:space="preserve">PA         </w:t>
            </w:r>
            <w:r w:rsidRPr="00EB6639">
              <w:rPr>
                <w:rFonts w:ascii="Times New Roman" w:hAnsi="Times New Roman" w:cs="Times New Roman"/>
                <w:sz w:val="20"/>
                <w:szCs w:val="20"/>
              </w:rPr>
              <w:sym w:font="Wingdings" w:char="F0E0"/>
            </w:r>
            <w:r w:rsidRPr="00EB6639">
              <w:rPr>
                <w:rFonts w:ascii="Times New Roman" w:hAnsi="Times New Roman" w:cs="Times New Roman"/>
                <w:sz w:val="20"/>
                <w:szCs w:val="20"/>
              </w:rPr>
              <w:t xml:space="preserve">    GBI</w:t>
            </w:r>
          </w:p>
        </w:tc>
        <w:tc>
          <w:tcPr>
            <w:tcW w:w="1817" w:type="dxa"/>
            <w:vAlign w:val="center"/>
          </w:tcPr>
          <w:p w14:paraId="1CA6403D"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.570</w:t>
            </w:r>
          </w:p>
        </w:tc>
        <w:tc>
          <w:tcPr>
            <w:tcW w:w="1338" w:type="dxa"/>
            <w:vAlign w:val="center"/>
          </w:tcPr>
          <w:p w14:paraId="30FB2D24" w14:textId="77777777" w:rsidR="00A3140A" w:rsidRPr="00EB6639" w:rsidRDefault="00A3140A" w:rsidP="00EB6639">
            <w:pPr>
              <w:spacing w:before="240" w:after="120"/>
              <w:ind w:right="-24"/>
              <w:jc w:val="both"/>
              <w:rPr>
                <w:rFonts w:ascii="Times New Roman" w:hAnsi="Times New Roman" w:cs="Times New Roman"/>
                <w:sz w:val="20"/>
                <w:szCs w:val="20"/>
              </w:rPr>
            </w:pPr>
            <w:r w:rsidRPr="00EB6639">
              <w:rPr>
                <w:rFonts w:ascii="Times New Roman" w:hAnsi="Times New Roman" w:cs="Times New Roman"/>
                <w:sz w:val="20"/>
                <w:szCs w:val="20"/>
              </w:rPr>
              <w:t>***</w:t>
            </w:r>
          </w:p>
        </w:tc>
        <w:tc>
          <w:tcPr>
            <w:tcW w:w="1913" w:type="dxa"/>
            <w:vAlign w:val="center"/>
          </w:tcPr>
          <w:p w14:paraId="2EFF94C6" w14:textId="77777777" w:rsidR="00A3140A" w:rsidRPr="00EB6639" w:rsidRDefault="00A3140A" w:rsidP="00EB6639">
            <w:pPr>
              <w:spacing w:before="240" w:after="120"/>
              <w:jc w:val="both"/>
              <w:rPr>
                <w:rFonts w:ascii="Times New Roman" w:hAnsi="Times New Roman" w:cs="Times New Roman"/>
                <w:sz w:val="20"/>
                <w:szCs w:val="20"/>
              </w:rPr>
            </w:pPr>
            <w:r w:rsidRPr="00EB6639">
              <w:rPr>
                <w:rFonts w:ascii="Times New Roman" w:hAnsi="Times New Roman" w:cs="Times New Roman"/>
                <w:sz w:val="20"/>
                <w:szCs w:val="20"/>
              </w:rPr>
              <w:t>Supported</w:t>
            </w:r>
          </w:p>
        </w:tc>
      </w:tr>
    </w:tbl>
    <w:bookmarkEnd w:id="4"/>
    <w:bookmarkEnd w:id="5"/>
    <w:p w14:paraId="4772F3FA" w14:textId="57444DA8" w:rsidR="00A3140A" w:rsidRPr="00EB6639" w:rsidRDefault="00A3140A" w:rsidP="00EB6639">
      <w:pPr>
        <w:spacing w:before="240" w:after="120" w:line="240" w:lineRule="auto"/>
        <w:jc w:val="both"/>
        <w:rPr>
          <w:rFonts w:cs="Times New Roman"/>
          <w:sz w:val="20"/>
          <w:szCs w:val="20"/>
        </w:rPr>
      </w:pPr>
      <w:r w:rsidRPr="00EB6639">
        <w:rPr>
          <w:rFonts w:cs="Times New Roman"/>
          <w:b/>
          <w:sz w:val="20"/>
          <w:szCs w:val="20"/>
        </w:rPr>
        <w:t>Note.</w:t>
      </w:r>
      <w:r w:rsidRPr="00EB6639">
        <w:rPr>
          <w:rFonts w:cs="Times New Roman"/>
          <w:sz w:val="20"/>
          <w:szCs w:val="20"/>
        </w:rPr>
        <w:t xml:space="preserve">  *** &lt; 0.001;  HE: hedonism; NO: Novelty; CUL: Local cuture; RE: Refreshment; MEA: Meaningfulnes; INV: Involvement; KNOW: Knowledge; PA: Place attachment; GBI: Green behavio</w:t>
      </w:r>
      <w:r w:rsidR="00F73A76" w:rsidRPr="00EB6639">
        <w:rPr>
          <w:rFonts w:cs="Times New Roman"/>
          <w:sz w:val="20"/>
          <w:szCs w:val="20"/>
        </w:rPr>
        <w:t>u</w:t>
      </w:r>
      <w:r w:rsidRPr="00EB6639">
        <w:rPr>
          <w:rFonts w:cs="Times New Roman"/>
          <w:sz w:val="20"/>
          <w:szCs w:val="20"/>
        </w:rPr>
        <w:t>r</w:t>
      </w:r>
      <w:r w:rsidR="00F73A76" w:rsidRPr="00EB6639">
        <w:rPr>
          <w:rFonts w:cs="Times New Roman"/>
          <w:sz w:val="20"/>
          <w:szCs w:val="20"/>
        </w:rPr>
        <w:t>al</w:t>
      </w:r>
      <w:r w:rsidRPr="00EB6639">
        <w:rPr>
          <w:rFonts w:cs="Times New Roman"/>
          <w:sz w:val="20"/>
          <w:szCs w:val="20"/>
        </w:rPr>
        <w:t xml:space="preserve"> intention</w:t>
      </w:r>
      <w:r w:rsidR="00F73A76" w:rsidRPr="00EB6639">
        <w:rPr>
          <w:rFonts w:cs="Times New Roman"/>
          <w:sz w:val="20"/>
          <w:szCs w:val="20"/>
        </w:rPr>
        <w:t>s</w:t>
      </w:r>
      <w:r w:rsidRPr="00EB6639">
        <w:rPr>
          <w:rFonts w:cs="Times New Roman"/>
          <w:sz w:val="20"/>
          <w:szCs w:val="20"/>
        </w:rPr>
        <w:t>.</w:t>
      </w:r>
    </w:p>
    <w:p w14:paraId="2006A2AD" w14:textId="77777777" w:rsidR="00A3140A" w:rsidRPr="00A47525" w:rsidRDefault="00A3140A" w:rsidP="00A47525">
      <w:pPr>
        <w:spacing w:before="120" w:after="120" w:line="240" w:lineRule="auto"/>
        <w:ind w:left="720"/>
        <w:jc w:val="both"/>
        <w:rPr>
          <w:rFonts w:cs="Times New Roman"/>
          <w:sz w:val="22"/>
        </w:rPr>
      </w:pPr>
    </w:p>
    <w:p w14:paraId="4DEBD718" w14:textId="77777777" w:rsidR="00E72C1E" w:rsidRDefault="00E72C1E" w:rsidP="00AF56B0">
      <w:pPr>
        <w:pStyle w:val="Heading1"/>
        <w:sectPr w:rsidR="00E72C1E" w:rsidSect="00E72C1E">
          <w:type w:val="continuous"/>
          <w:pgSz w:w="12240" w:h="15840"/>
          <w:pgMar w:top="1134" w:right="1134" w:bottom="1134" w:left="1418" w:header="720" w:footer="720" w:gutter="0"/>
          <w:cols w:space="720"/>
          <w:docGrid w:linePitch="360"/>
        </w:sectPr>
      </w:pPr>
    </w:p>
    <w:p w14:paraId="77742BB5" w14:textId="1B3EA926" w:rsidR="00472CE7" w:rsidRPr="00A47525" w:rsidRDefault="00AF56B0" w:rsidP="00C53934">
      <w:pPr>
        <w:pStyle w:val="Heading1"/>
        <w:jc w:val="both"/>
      </w:pPr>
      <w:r>
        <w:t xml:space="preserve">5. </w:t>
      </w:r>
      <w:r w:rsidR="00FF5A55">
        <w:t>D</w:t>
      </w:r>
      <w:r w:rsidR="00B57D0E" w:rsidRPr="00A47525">
        <w:t>ISCUSSION</w:t>
      </w:r>
    </w:p>
    <w:p w14:paraId="1F907344" w14:textId="4606464C" w:rsidR="008429C2" w:rsidRPr="00A47525" w:rsidRDefault="008429C2" w:rsidP="00C53934">
      <w:pPr>
        <w:spacing w:before="120" w:after="120" w:line="240" w:lineRule="auto"/>
        <w:ind w:firstLine="720"/>
        <w:jc w:val="both"/>
        <w:rPr>
          <w:rFonts w:cs="Times New Roman"/>
          <w:sz w:val="22"/>
        </w:rPr>
      </w:pPr>
      <w:r w:rsidRPr="00A47525">
        <w:rPr>
          <w:rFonts w:cs="Times New Roman"/>
          <w:sz w:val="22"/>
        </w:rPr>
        <w:t>This study contributes to the sustainable tourism literature by examining how specific dimensions of MTE shape</w:t>
      </w:r>
      <w:r w:rsidR="00F73A76">
        <w:rPr>
          <w:rFonts w:cs="Times New Roman"/>
          <w:sz w:val="22"/>
        </w:rPr>
        <w:t xml:space="preserve"> </w:t>
      </w:r>
      <w:r w:rsidRPr="00A47525">
        <w:rPr>
          <w:rFonts w:cs="Times New Roman"/>
          <w:sz w:val="22"/>
        </w:rPr>
        <w:t xml:space="preserve"> place attachment and, subsequently,</w:t>
      </w:r>
      <w:r w:rsidR="00F73A76">
        <w:rPr>
          <w:rFonts w:cs="Times New Roman"/>
          <w:sz w:val="22"/>
        </w:rPr>
        <w:t xml:space="preserve"> GBI</w:t>
      </w:r>
      <w:r w:rsidRPr="00A47525">
        <w:rPr>
          <w:rFonts w:cs="Times New Roman"/>
          <w:sz w:val="22"/>
        </w:rPr>
        <w:t xml:space="preserve"> in the context of Gia Lai. The structural model demonstrated an acceptable fit (CMIN/df = 2.939; TLI = 0.900; CFI = 0.912; RMSEA = 0.072), indicating that the proposed framework adequately represents the observed relationships. The findings reveal a differentiated pattern of effects: among the seven MTE dimensions, only local culture, refreshment, and knowledge significantly enhanced </w:t>
      </w:r>
      <w:r w:rsidR="00F73A76">
        <w:rPr>
          <w:rFonts w:cs="Times New Roman"/>
          <w:sz w:val="22"/>
        </w:rPr>
        <w:t>PA</w:t>
      </w:r>
      <w:r w:rsidRPr="00A47525">
        <w:rPr>
          <w:rFonts w:cs="Times New Roman"/>
          <w:sz w:val="22"/>
        </w:rPr>
        <w:t xml:space="preserve">, while </w:t>
      </w:r>
      <w:r w:rsidR="00F73A76">
        <w:rPr>
          <w:rFonts w:cs="Times New Roman"/>
          <w:sz w:val="22"/>
        </w:rPr>
        <w:t>PA</w:t>
      </w:r>
      <w:r w:rsidRPr="00A47525">
        <w:rPr>
          <w:rFonts w:cs="Times New Roman"/>
          <w:sz w:val="22"/>
        </w:rPr>
        <w:t xml:space="preserve"> strongly predicted</w:t>
      </w:r>
      <w:r w:rsidR="00F73A76">
        <w:rPr>
          <w:rFonts w:cs="Times New Roman"/>
          <w:sz w:val="22"/>
        </w:rPr>
        <w:t xml:space="preserve"> GBI</w:t>
      </w:r>
      <w:r w:rsidRPr="00A47525">
        <w:rPr>
          <w:rFonts w:cs="Times New Roman"/>
          <w:sz w:val="22"/>
        </w:rPr>
        <w:t>.</w:t>
      </w:r>
    </w:p>
    <w:p w14:paraId="03A2B7B2" w14:textId="42F01CE2" w:rsidR="008429C2" w:rsidRPr="00B011E4" w:rsidRDefault="008429C2" w:rsidP="00C53934">
      <w:pPr>
        <w:spacing w:before="120" w:after="120" w:line="240" w:lineRule="auto"/>
        <w:ind w:firstLine="720"/>
        <w:jc w:val="both"/>
        <w:rPr>
          <w:rFonts w:cs="Times New Roman"/>
          <w:sz w:val="22"/>
        </w:rPr>
      </w:pPr>
      <w:r w:rsidRPr="00A47525">
        <w:rPr>
          <w:rFonts w:cs="Times New Roman"/>
          <w:sz w:val="22"/>
        </w:rPr>
        <w:t>A key insight of this study is the prominent role of</w:t>
      </w:r>
      <w:r w:rsidR="00B011E4">
        <w:rPr>
          <w:rFonts w:cs="Times New Roman"/>
          <w:sz w:val="22"/>
        </w:rPr>
        <w:t xml:space="preserve"> local culture</w:t>
      </w:r>
      <w:r w:rsidRPr="00A47525">
        <w:rPr>
          <w:rFonts w:cs="Times New Roman"/>
          <w:sz w:val="22"/>
        </w:rPr>
        <w:t xml:space="preserve"> in strengthening tourists’ attachment to the destination. This finding supports prior research suggesting that culturally embedded experiences are central to the memorability and emotional resonance of tourism encounters</w:t>
      </w:r>
      <w:r w:rsidR="00607784">
        <w:rPr>
          <w:rFonts w:cs="Times New Roman"/>
          <w:sz w:val="22"/>
        </w:rPr>
        <w:t xml:space="preserve"> [1], [11]</w:t>
      </w:r>
      <w:r w:rsidR="00B011E4">
        <w:rPr>
          <w:rFonts w:cs="Times New Roman"/>
          <w:sz w:val="22"/>
        </w:rPr>
        <w:t xml:space="preserve">. </w:t>
      </w:r>
      <w:r w:rsidRPr="00A47525">
        <w:rPr>
          <w:rFonts w:cs="Times New Roman"/>
          <w:sz w:val="22"/>
        </w:rPr>
        <w:t xml:space="preserve">When tourists perceive authentic engagement with local traditions, lifestyles, and heritage, they are more likely to develop symbolic and emotional bonds with the destination. In the case of Gia Lai, the cultural distinctiveness of the Central Highlands </w:t>
      </w:r>
      <w:r w:rsidR="00607784">
        <w:rPr>
          <w:rFonts w:cs="Times New Roman"/>
          <w:sz w:val="22"/>
        </w:rPr>
        <w:t xml:space="preserve">and Central Coast </w:t>
      </w:r>
      <w:r w:rsidRPr="00A47525">
        <w:rPr>
          <w:rFonts w:cs="Times New Roman"/>
          <w:sz w:val="22"/>
        </w:rPr>
        <w:t>may provide meaningful reference points that anchor visitors’ memories and foster a sense of connection. This result reinforces arguments that cultural immersion functions as a powerful pathway through which experiential value translates into place-based attachment</w:t>
      </w:r>
      <w:r w:rsidR="00607784">
        <w:rPr>
          <w:rFonts w:cs="Times New Roman"/>
          <w:sz w:val="22"/>
        </w:rPr>
        <w:t xml:space="preserve"> [7]</w:t>
      </w:r>
      <w:r w:rsidR="00B011E4">
        <w:rPr>
          <w:rFonts w:cs="Times New Roman"/>
          <w:sz w:val="22"/>
        </w:rPr>
        <w:t>.</w:t>
      </w:r>
    </w:p>
    <w:p w14:paraId="146DDFCA" w14:textId="4CE23598" w:rsidR="008429C2" w:rsidRPr="00A47525" w:rsidRDefault="008429C2" w:rsidP="00C53934">
      <w:pPr>
        <w:spacing w:before="120" w:after="120" w:line="240" w:lineRule="auto"/>
        <w:ind w:firstLine="720"/>
        <w:jc w:val="both"/>
        <w:rPr>
          <w:rFonts w:cs="Times New Roman"/>
          <w:sz w:val="22"/>
        </w:rPr>
      </w:pPr>
      <w:r w:rsidRPr="00A47525">
        <w:rPr>
          <w:rFonts w:cs="Times New Roman"/>
          <w:sz w:val="22"/>
        </w:rPr>
        <w:t>The strongest predictor of place attachment was</w:t>
      </w:r>
      <w:r w:rsidR="00B011E4">
        <w:rPr>
          <w:rFonts w:cs="Times New Roman"/>
          <w:sz w:val="22"/>
        </w:rPr>
        <w:t xml:space="preserve"> refreshment</w:t>
      </w:r>
      <w:r w:rsidRPr="00A47525">
        <w:rPr>
          <w:rFonts w:cs="Times New Roman"/>
          <w:sz w:val="22"/>
        </w:rPr>
        <w:t>, indicating that restorative and psychologically renewing experiences play a critical role in attachment formation. This finding aligns with the restorative environment perspective, which posits that destinations associated with relaxation, escape, and mental recovery tend to generate stronger emotional bonds</w:t>
      </w:r>
      <w:r w:rsidR="00B011E4">
        <w:rPr>
          <w:rFonts w:cs="Times New Roman"/>
          <w:sz w:val="22"/>
        </w:rPr>
        <w:t xml:space="preserve"> </w:t>
      </w:r>
      <w:r w:rsidR="00607784">
        <w:rPr>
          <w:rFonts w:cs="Times New Roman"/>
          <w:sz w:val="22"/>
        </w:rPr>
        <w:t>[31], [36]</w:t>
      </w:r>
      <w:r w:rsidR="00B011E4">
        <w:rPr>
          <w:rFonts w:cs="Times New Roman"/>
          <w:sz w:val="22"/>
        </w:rPr>
        <w:t xml:space="preserve">. </w:t>
      </w:r>
      <w:r w:rsidRPr="00A47525">
        <w:rPr>
          <w:rFonts w:cs="Times New Roman"/>
          <w:sz w:val="22"/>
        </w:rPr>
        <w:t>In nature-oriented destinations such as Gia Lai, visitors may primarily seek relief from routine stress and urban pressures. When the destination successfully delivers feelings of rejuvenation and well-being, it becomes emotionally meaningful to tourists, thereby strengthening attachment. This result extends the experience economy framework</w:t>
      </w:r>
      <w:r w:rsidR="00607784">
        <w:rPr>
          <w:rFonts w:cs="Times New Roman"/>
          <w:sz w:val="22"/>
        </w:rPr>
        <w:t xml:space="preserve"> [1], [23]</w:t>
      </w:r>
      <w:r w:rsidR="00B011E4">
        <w:rPr>
          <w:rFonts w:cs="Times New Roman"/>
          <w:sz w:val="22"/>
        </w:rPr>
        <w:t xml:space="preserve"> </w:t>
      </w:r>
      <w:r w:rsidRPr="00A47525">
        <w:rPr>
          <w:rFonts w:cs="Times New Roman"/>
          <w:sz w:val="22"/>
        </w:rPr>
        <w:t>by highlighting that restorative value</w:t>
      </w:r>
      <w:r w:rsidR="00B011E4">
        <w:rPr>
          <w:rFonts w:cs="Times New Roman"/>
          <w:sz w:val="22"/>
        </w:rPr>
        <w:t xml:space="preserve">, </w:t>
      </w:r>
      <w:r w:rsidRPr="00A47525">
        <w:rPr>
          <w:rFonts w:cs="Times New Roman"/>
          <w:sz w:val="22"/>
        </w:rPr>
        <w:t>beyond mere entertainment</w:t>
      </w:r>
      <w:r w:rsidR="00B011E4">
        <w:rPr>
          <w:rFonts w:cs="Times New Roman"/>
          <w:sz w:val="22"/>
        </w:rPr>
        <w:t xml:space="preserve">, </w:t>
      </w:r>
      <w:r w:rsidRPr="00A47525">
        <w:rPr>
          <w:rFonts w:cs="Times New Roman"/>
          <w:sz w:val="22"/>
        </w:rPr>
        <w:t>constitutes an important experiential driver of place-related bonding.</w:t>
      </w:r>
    </w:p>
    <w:p w14:paraId="562EFDBB" w14:textId="2CD971A5" w:rsidR="008429C2" w:rsidRPr="00A47525" w:rsidRDefault="008429C2" w:rsidP="00C53934">
      <w:pPr>
        <w:spacing w:before="120" w:after="120" w:line="240" w:lineRule="auto"/>
        <w:ind w:firstLine="720"/>
        <w:jc w:val="both"/>
        <w:rPr>
          <w:rFonts w:cs="Times New Roman"/>
          <w:sz w:val="22"/>
        </w:rPr>
      </w:pPr>
      <w:r w:rsidRPr="00A47525">
        <w:rPr>
          <w:rFonts w:cs="Times New Roman"/>
          <w:sz w:val="22"/>
        </w:rPr>
        <w:t>The analysis also identified</w:t>
      </w:r>
      <w:r w:rsidR="00B011E4">
        <w:rPr>
          <w:rFonts w:cs="Times New Roman"/>
          <w:sz w:val="22"/>
        </w:rPr>
        <w:t xml:space="preserve"> knowledge</w:t>
      </w:r>
      <w:r w:rsidRPr="00A47525">
        <w:rPr>
          <w:rFonts w:cs="Times New Roman"/>
          <w:sz w:val="22"/>
        </w:rPr>
        <w:t xml:space="preserve"> as a significant, though more modest, antecedent of place attachment. This suggests that learning-oriented experiences, such as gaining insights into local ecology, culture, or conservation issues, contribute to tourists’ cognitive appreciation of the destination. Prior research has noted that environmental learning and interpretive experiences can deepen visitors’ understanding and foster stronger place meanings</w:t>
      </w:r>
      <w:r w:rsidR="00607784">
        <w:rPr>
          <w:rFonts w:cs="Times New Roman"/>
          <w:sz w:val="22"/>
        </w:rPr>
        <w:t xml:space="preserve"> ơ7], [8], [10]</w:t>
      </w:r>
      <w:r w:rsidRPr="00A47525">
        <w:rPr>
          <w:rFonts w:cs="Times New Roman"/>
          <w:sz w:val="22"/>
        </w:rPr>
        <w:t>. In emerging ecotourism settings, knowledge acquisition may complement affective responses by helping tourists recognise the uniqueness and value of the destination. The present finding</w:t>
      </w:r>
      <w:r w:rsidR="00007D1E">
        <w:rPr>
          <w:rFonts w:cs="Times New Roman"/>
          <w:sz w:val="22"/>
        </w:rPr>
        <w:t>,</w:t>
      </w:r>
      <w:r w:rsidRPr="00A47525">
        <w:rPr>
          <w:rFonts w:cs="Times New Roman"/>
          <w:sz w:val="22"/>
        </w:rPr>
        <w:t xml:space="preserve"> therefore</w:t>
      </w:r>
      <w:r w:rsidR="00BD0EAD">
        <w:rPr>
          <w:rFonts w:cs="Times New Roman"/>
          <w:sz w:val="22"/>
        </w:rPr>
        <w:t>,</w:t>
      </w:r>
      <w:r w:rsidRPr="00A47525">
        <w:rPr>
          <w:rFonts w:cs="Times New Roman"/>
          <w:sz w:val="22"/>
        </w:rPr>
        <w:t xml:space="preserve"> supports the view that both affective (refreshment) and cognitive (knowledge) pathways are relevant in building attachment, although their relative strengths may differ.</w:t>
      </w:r>
    </w:p>
    <w:p w14:paraId="63C8D55C" w14:textId="18CA15D7" w:rsidR="008429C2" w:rsidRPr="00A47525" w:rsidRDefault="008429C2" w:rsidP="00C53934">
      <w:pPr>
        <w:spacing w:before="120" w:after="120" w:line="240" w:lineRule="auto"/>
        <w:ind w:firstLine="720"/>
        <w:jc w:val="both"/>
        <w:rPr>
          <w:rFonts w:cs="Times New Roman"/>
          <w:sz w:val="22"/>
        </w:rPr>
      </w:pPr>
      <w:r w:rsidRPr="00A47525">
        <w:rPr>
          <w:rFonts w:cs="Times New Roman"/>
          <w:sz w:val="22"/>
        </w:rPr>
        <w:t>In contrast, the dimensions of</w:t>
      </w:r>
      <w:r w:rsidR="00BD0EAD">
        <w:rPr>
          <w:rFonts w:cs="Times New Roman"/>
          <w:sz w:val="22"/>
        </w:rPr>
        <w:t xml:space="preserve"> hedonism, novelty, meaningfulness, and involvement</w:t>
      </w:r>
      <w:r w:rsidRPr="00A47525">
        <w:rPr>
          <w:rFonts w:cs="Times New Roman"/>
          <w:sz w:val="22"/>
        </w:rPr>
        <w:t xml:space="preserve"> did not exhibit significant effects on place attachment. This pattern suggests that not all memorable experience components translate equally into enduring place bonds. Hedonic pleasure and novelty, while often associated with short-term satisfaction and excitement</w:t>
      </w:r>
      <w:r w:rsidR="00007D1E">
        <w:rPr>
          <w:rFonts w:cs="Times New Roman"/>
          <w:sz w:val="22"/>
        </w:rPr>
        <w:t xml:space="preserve"> [2], [6]</w:t>
      </w:r>
      <w:r w:rsidRPr="00A47525">
        <w:rPr>
          <w:rFonts w:cs="Times New Roman"/>
          <w:sz w:val="22"/>
        </w:rPr>
        <w:t>, may generate more transient emotional responses that do not necessarily evolve into deeper attachment. Similarly, involvement may not strengthen attachment when participatory opportunities are limited or perceived as routine rather than genuinely co-creative. These findings echo the view that attachment formation requires experiences that are personally resonant and contextually grounded, rather than merely stimulating or entertaining</w:t>
      </w:r>
      <w:r w:rsidR="00BD0EAD">
        <w:rPr>
          <w:rFonts w:cs="Times New Roman"/>
          <w:sz w:val="22"/>
        </w:rPr>
        <w:t xml:space="preserve">. </w:t>
      </w:r>
      <w:r w:rsidRPr="00A47525">
        <w:rPr>
          <w:rFonts w:cs="Times New Roman"/>
          <w:sz w:val="22"/>
        </w:rPr>
        <w:t>The results therefore refine the MTE literature by demonstrating that the effectiveness of specific experience dimensions is context-dependent, particularly in emerging nature-based destinations.</w:t>
      </w:r>
    </w:p>
    <w:p w14:paraId="2AAE0FE0" w14:textId="39D62A24" w:rsidR="008429C2" w:rsidRPr="00A47525" w:rsidRDefault="008429C2" w:rsidP="00C53934">
      <w:pPr>
        <w:spacing w:before="120" w:after="120" w:line="240" w:lineRule="auto"/>
        <w:ind w:firstLine="720"/>
        <w:jc w:val="both"/>
        <w:rPr>
          <w:rFonts w:cs="Times New Roman"/>
          <w:sz w:val="22"/>
        </w:rPr>
      </w:pPr>
      <w:r w:rsidRPr="00A47525">
        <w:rPr>
          <w:rFonts w:cs="Times New Roman"/>
          <w:sz w:val="22"/>
        </w:rPr>
        <w:t>The study further confirms the central role of</w:t>
      </w:r>
      <w:r w:rsidR="00BD0EAD">
        <w:rPr>
          <w:rFonts w:cs="Times New Roman"/>
          <w:sz w:val="22"/>
        </w:rPr>
        <w:t xml:space="preserve"> place attachment</w:t>
      </w:r>
      <w:r w:rsidRPr="00A47525">
        <w:rPr>
          <w:rFonts w:cs="Times New Roman"/>
          <w:sz w:val="22"/>
        </w:rPr>
        <w:t xml:space="preserve"> in driving</w:t>
      </w:r>
      <w:r w:rsidR="00BD0EAD">
        <w:rPr>
          <w:rFonts w:cs="Times New Roman"/>
          <w:sz w:val="22"/>
        </w:rPr>
        <w:t xml:space="preserve"> green intentions</w:t>
      </w:r>
      <w:r w:rsidRPr="00A47525">
        <w:rPr>
          <w:rFonts w:cs="Times New Roman"/>
          <w:sz w:val="22"/>
        </w:rPr>
        <w:t>. The strong positive relationship observed supports environmental psychology research indicating that emotional and functional bonds with a destination encourage tourists to engage in environmentally responsible behaviours</w:t>
      </w:r>
      <w:r w:rsidR="00025D68">
        <w:rPr>
          <w:rFonts w:cs="Times New Roman"/>
          <w:sz w:val="22"/>
        </w:rPr>
        <w:t xml:space="preserve"> </w:t>
      </w:r>
      <w:r w:rsidR="00007D1E">
        <w:rPr>
          <w:rFonts w:cs="Times New Roman"/>
          <w:sz w:val="22"/>
        </w:rPr>
        <w:t xml:space="preserve"> [36], [37].</w:t>
      </w:r>
      <w:r w:rsidR="00025D68">
        <w:rPr>
          <w:rFonts w:cs="Times New Roman"/>
          <w:sz w:val="22"/>
          <w:vertAlign w:val="superscript"/>
        </w:rPr>
        <w:t xml:space="preserve"> </w:t>
      </w:r>
      <w:r w:rsidRPr="00A47525">
        <w:rPr>
          <w:rFonts w:cs="Times New Roman"/>
          <w:sz w:val="22"/>
        </w:rPr>
        <w:t xml:space="preserve">From the perspective of the </w:t>
      </w:r>
      <w:r w:rsidR="00F73A76">
        <w:rPr>
          <w:rFonts w:cs="Times New Roman"/>
          <w:sz w:val="22"/>
        </w:rPr>
        <w:t>TPB</w:t>
      </w:r>
      <w:r w:rsidR="00BD0EAD">
        <w:rPr>
          <w:rFonts w:cs="Times New Roman"/>
          <w:sz w:val="22"/>
          <w:vertAlign w:val="superscript"/>
        </w:rPr>
        <w:t>18</w:t>
      </w:r>
      <w:r w:rsidR="00BD0EAD">
        <w:rPr>
          <w:rFonts w:cs="Times New Roman"/>
          <w:sz w:val="22"/>
        </w:rPr>
        <w:t xml:space="preserve">, </w:t>
      </w:r>
      <w:r w:rsidRPr="00A47525">
        <w:rPr>
          <w:rFonts w:cs="Times New Roman"/>
          <w:sz w:val="22"/>
        </w:rPr>
        <w:t>attachment can be interpreted as a place-based evaluative orientation that strengthens pro-environmental intentions by enhancing the perceived importance of protecting the destination. When tourists feel connected to a place, they are more likely to support conservation efforts, comply with environmental guidelines, and behave in environmentally responsible ways.</w:t>
      </w:r>
    </w:p>
    <w:p w14:paraId="72A3DBF7" w14:textId="3F310319" w:rsidR="008429C2" w:rsidRPr="00A47525" w:rsidRDefault="008429C2" w:rsidP="00C53934">
      <w:pPr>
        <w:spacing w:before="120" w:after="120" w:line="240" w:lineRule="auto"/>
        <w:ind w:firstLine="720"/>
        <w:jc w:val="both"/>
        <w:rPr>
          <w:rFonts w:cs="Times New Roman"/>
          <w:sz w:val="22"/>
        </w:rPr>
      </w:pPr>
      <w:r w:rsidRPr="00A47525">
        <w:rPr>
          <w:rFonts w:cs="Times New Roman"/>
          <w:sz w:val="22"/>
        </w:rPr>
        <w:t xml:space="preserve">This finding is particularly important for sustainable tourism development in emerging destinations such as Gia Lai. Rather than relying solely on environmental awareness campaigns, destination managers may achieve stronger behavioural outcomes by cultivating emotional bonds between visitors and </w:t>
      </w:r>
      <w:r w:rsidR="00E72C1E">
        <w:rPr>
          <w:rFonts w:cs="Times New Roman"/>
          <w:sz w:val="22"/>
        </w:rPr>
        <w:t xml:space="preserve">the </w:t>
      </w:r>
      <w:r w:rsidRPr="00A47525">
        <w:rPr>
          <w:rFonts w:cs="Times New Roman"/>
          <w:sz w:val="22"/>
        </w:rPr>
        <w:t>place. The results suggest that attachment operates as a key psychological mechanism linking experiential consumption with sustainability-oriented intentions.</w:t>
      </w:r>
    </w:p>
    <w:p w14:paraId="4EB990B3" w14:textId="65246960" w:rsidR="008429C2" w:rsidRPr="00A47525" w:rsidRDefault="00AF56B0" w:rsidP="00C53934">
      <w:pPr>
        <w:pStyle w:val="Heading2"/>
        <w:jc w:val="both"/>
      </w:pPr>
      <w:r>
        <w:t xml:space="preserve">6. </w:t>
      </w:r>
      <w:r w:rsidR="00B57D0E" w:rsidRPr="00A47525">
        <w:t>CONCLUSION</w:t>
      </w:r>
    </w:p>
    <w:p w14:paraId="1AFC4401" w14:textId="72E4662F" w:rsidR="008429C2" w:rsidRPr="00A47525" w:rsidRDefault="008429C2" w:rsidP="00C53934">
      <w:pPr>
        <w:pStyle w:val="NormalWeb"/>
        <w:spacing w:before="120" w:beforeAutospacing="0" w:after="120" w:afterAutospacing="0"/>
        <w:ind w:firstLine="720"/>
        <w:jc w:val="both"/>
        <w:rPr>
          <w:sz w:val="22"/>
          <w:szCs w:val="22"/>
        </w:rPr>
      </w:pPr>
      <w:r w:rsidRPr="00A47525">
        <w:rPr>
          <w:sz w:val="22"/>
          <w:szCs w:val="22"/>
        </w:rPr>
        <w:t xml:space="preserve">Overall, this study makes three main contributions. First, it refines the understanding of </w:t>
      </w:r>
      <w:r w:rsidR="00E72C1E">
        <w:rPr>
          <w:sz w:val="22"/>
          <w:szCs w:val="22"/>
        </w:rPr>
        <w:t>MTE by</w:t>
      </w:r>
      <w:r w:rsidRPr="00A47525">
        <w:rPr>
          <w:sz w:val="22"/>
          <w:szCs w:val="22"/>
        </w:rPr>
        <w:t xml:space="preserve"> identifying which specific experience dimensions most effectively foster place attachment in a Central Highlands context. Second, it reinforces the theoretical linkage between place attachment and </w:t>
      </w:r>
      <w:r w:rsidR="00F73A76">
        <w:rPr>
          <w:sz w:val="22"/>
          <w:szCs w:val="22"/>
        </w:rPr>
        <w:t>GBI</w:t>
      </w:r>
      <w:r w:rsidRPr="00A47525">
        <w:rPr>
          <w:sz w:val="22"/>
          <w:szCs w:val="22"/>
        </w:rPr>
        <w:t>, highlighting attachment as a critical mediating mechanism in sustainable tourism behaviour. Third, it provides empirical evidence from an under-researched Vietnamese destination, responding to calls for broader geographical representation in tourism behaviour research.</w:t>
      </w:r>
      <w:r w:rsidR="00BD0EAD">
        <w:rPr>
          <w:sz w:val="22"/>
          <w:szCs w:val="22"/>
        </w:rPr>
        <w:t xml:space="preserve"> </w:t>
      </w:r>
      <w:r w:rsidRPr="00A47525">
        <w:rPr>
          <w:sz w:val="22"/>
          <w:szCs w:val="22"/>
        </w:rPr>
        <w:t>From a managerial standpoint, the findings suggest that tourism planners and destination marketers in Gia Lai should prioritise experience design that enhances restorative benefits, authentic cultural engagement, and interpretive learning. Investments in culturally grounded storytelling, nature-based relaxation spaces, and educational interpretation programs may be particularly effective in strengthening tourists’ emotional bonds and encouraging environmentally responsible behaviour. By focusing on experience quality that deepens visitor–place relationships, destinations can simultaneously enhance visitor satisfaction and advance sustainability goals.</w:t>
      </w:r>
    </w:p>
    <w:p w14:paraId="60CC3E1B" w14:textId="77777777" w:rsidR="00AF56B0" w:rsidRPr="00AF56B0" w:rsidRDefault="00AF56B0" w:rsidP="00C53934">
      <w:pPr>
        <w:pStyle w:val="Heading2"/>
        <w:jc w:val="both"/>
      </w:pPr>
      <w:r w:rsidRPr="00AF56B0">
        <w:t>DECLARATION OF CONFLICTS OF INTEREST</w:t>
      </w:r>
    </w:p>
    <w:p w14:paraId="16777205" w14:textId="77777777" w:rsidR="00AF56B0" w:rsidRPr="00AF56B0" w:rsidRDefault="00AF56B0" w:rsidP="00C53934">
      <w:pPr>
        <w:spacing w:before="120" w:after="120" w:line="240" w:lineRule="auto"/>
        <w:jc w:val="both"/>
        <w:rPr>
          <w:rFonts w:cs="Times New Roman"/>
          <w:i/>
          <w:sz w:val="22"/>
        </w:rPr>
      </w:pPr>
      <w:r w:rsidRPr="00AF56B0">
        <w:rPr>
          <w:rFonts w:cs="Times New Roman"/>
          <w:i/>
          <w:sz w:val="22"/>
        </w:rPr>
        <w:t xml:space="preserve">The author(s) declare that this research has no conflicts of interest. </w:t>
      </w:r>
    </w:p>
    <w:p w14:paraId="2F056D10" w14:textId="00545A88" w:rsidR="00493F5A" w:rsidRPr="00A47525" w:rsidRDefault="00AF56B0" w:rsidP="00C53934">
      <w:pPr>
        <w:pStyle w:val="Heading1"/>
        <w:jc w:val="both"/>
      </w:pPr>
      <w:r w:rsidRPr="00A47525">
        <w:t>ACKNOWLEDGMENTS</w:t>
      </w:r>
    </w:p>
    <w:p w14:paraId="596FD005" w14:textId="0C95E84E" w:rsidR="00E11BD9" w:rsidRPr="004E5524" w:rsidRDefault="00E11BD9" w:rsidP="00C53934">
      <w:pPr>
        <w:tabs>
          <w:tab w:val="right" w:leader="hyphen" w:pos="9072"/>
        </w:tabs>
        <w:spacing w:before="120" w:after="120"/>
        <w:jc w:val="both"/>
        <w:rPr>
          <w:b/>
          <w:bCs/>
          <w:iCs/>
          <w:sz w:val="22"/>
        </w:rPr>
      </w:pPr>
      <w:r w:rsidRPr="00092D99">
        <w:rPr>
          <w:i/>
          <w:sz w:val="22"/>
        </w:rPr>
        <w:t xml:space="preserve">This research is conducted within the framework of science and technology projects at institutional level of Quy Nhon University under the project code </w:t>
      </w:r>
      <w:r w:rsidR="005B6A8D" w:rsidRPr="005B6A8D">
        <w:rPr>
          <w:i/>
          <w:sz w:val="22"/>
        </w:rPr>
        <w:t>T2026.937.21</w:t>
      </w:r>
    </w:p>
    <w:p w14:paraId="5775F0F2" w14:textId="0BD2350F" w:rsidR="003C22E5" w:rsidRPr="00AF56B0" w:rsidRDefault="00AF56B0" w:rsidP="00C53934">
      <w:pPr>
        <w:pStyle w:val="Heading1"/>
        <w:jc w:val="both"/>
      </w:pPr>
      <w:r w:rsidRPr="00AF56B0">
        <w:t>REFERENCES</w:t>
      </w:r>
    </w:p>
    <w:p w14:paraId="5E784D41" w14:textId="77777777" w:rsidR="00007D1E" w:rsidRPr="00AF56B0" w:rsidRDefault="00007D1E" w:rsidP="00C53934">
      <w:pPr>
        <w:pStyle w:val="NormalWeb"/>
        <w:jc w:val="both"/>
        <w:rPr>
          <w:sz w:val="20"/>
          <w:szCs w:val="20"/>
        </w:rPr>
      </w:pPr>
      <w:r w:rsidRPr="00AF56B0">
        <w:rPr>
          <w:sz w:val="20"/>
          <w:szCs w:val="20"/>
        </w:rPr>
        <w:t xml:space="preserve">[1] J.-H. Kim, J. R. B. Ritchie, and B. McCormick, “Development of a scale to measure memorable tourism experiences,” </w:t>
      </w:r>
      <w:r w:rsidRPr="00AF56B0">
        <w:rPr>
          <w:rStyle w:val="Emphasis"/>
          <w:sz w:val="20"/>
          <w:szCs w:val="20"/>
        </w:rPr>
        <w:t>Journal of Travel Research</w:t>
      </w:r>
      <w:r w:rsidRPr="00AF56B0">
        <w:rPr>
          <w:sz w:val="20"/>
          <w:szCs w:val="20"/>
        </w:rPr>
        <w:t>, vol. 51, no. 1, pp. 12–25, 2012.</w:t>
      </w:r>
    </w:p>
    <w:p w14:paraId="4838A309" w14:textId="77777777" w:rsidR="00007D1E" w:rsidRPr="00AF56B0" w:rsidRDefault="00007D1E" w:rsidP="00C53934">
      <w:pPr>
        <w:pStyle w:val="NormalWeb"/>
        <w:jc w:val="both"/>
        <w:rPr>
          <w:sz w:val="20"/>
          <w:szCs w:val="20"/>
        </w:rPr>
      </w:pPr>
      <w:r w:rsidRPr="00AF56B0">
        <w:rPr>
          <w:sz w:val="20"/>
          <w:szCs w:val="20"/>
        </w:rPr>
        <w:t xml:space="preserve">[2] S. Hosany and D. Gilbert, “Measuring tourists’ emotional experiences toward hedonic holiday destinations,” </w:t>
      </w:r>
      <w:r w:rsidRPr="00AF56B0">
        <w:rPr>
          <w:rStyle w:val="Emphasis"/>
          <w:sz w:val="20"/>
          <w:szCs w:val="20"/>
        </w:rPr>
        <w:t>Journal of Travel Research</w:t>
      </w:r>
      <w:r w:rsidRPr="00AF56B0">
        <w:rPr>
          <w:sz w:val="20"/>
          <w:szCs w:val="20"/>
        </w:rPr>
        <w:t>, vol. 49, no. 4, pp. 513–526, 2010.</w:t>
      </w:r>
    </w:p>
    <w:p w14:paraId="3FD363BD" w14:textId="77777777" w:rsidR="00007D1E" w:rsidRPr="00AF56B0" w:rsidRDefault="00007D1E" w:rsidP="00C53934">
      <w:pPr>
        <w:pStyle w:val="NormalWeb"/>
        <w:jc w:val="both"/>
        <w:rPr>
          <w:sz w:val="20"/>
          <w:szCs w:val="20"/>
        </w:rPr>
      </w:pPr>
      <w:r w:rsidRPr="00AF56B0">
        <w:rPr>
          <w:sz w:val="20"/>
          <w:szCs w:val="20"/>
        </w:rPr>
        <w:t xml:space="preserve">[3] L. Chandralal and F.-R. Valenzuela, “Memorable tourism experiences: Scale development,” </w:t>
      </w:r>
      <w:r w:rsidRPr="00AF56B0">
        <w:rPr>
          <w:rStyle w:val="Emphasis"/>
          <w:sz w:val="20"/>
          <w:szCs w:val="20"/>
        </w:rPr>
        <w:t>Contemporary Management Research</w:t>
      </w:r>
      <w:r w:rsidRPr="00AF56B0">
        <w:rPr>
          <w:sz w:val="20"/>
          <w:szCs w:val="20"/>
        </w:rPr>
        <w:t>, vol. 11, no. 3, 2015, Art. ID 13822.</w:t>
      </w:r>
    </w:p>
    <w:p w14:paraId="2BA630D7" w14:textId="77777777" w:rsidR="00007D1E" w:rsidRPr="00AF56B0" w:rsidRDefault="00007D1E" w:rsidP="00C53934">
      <w:pPr>
        <w:pStyle w:val="NormalWeb"/>
        <w:jc w:val="both"/>
        <w:rPr>
          <w:sz w:val="20"/>
          <w:szCs w:val="20"/>
        </w:rPr>
      </w:pPr>
      <w:r w:rsidRPr="00AF56B0">
        <w:rPr>
          <w:sz w:val="20"/>
          <w:szCs w:val="20"/>
        </w:rPr>
        <w:t xml:space="preserve">[4] H. Ramkissoon, L. D. G. Smith, and B. Weiler, “Testing the dimensionality of place attachment and its relationships with place satisfaction and pro-environmental behaviours,” </w:t>
      </w:r>
      <w:r w:rsidRPr="00AF56B0">
        <w:rPr>
          <w:rStyle w:val="Emphasis"/>
          <w:sz w:val="20"/>
          <w:szCs w:val="20"/>
        </w:rPr>
        <w:t>Tourism Management</w:t>
      </w:r>
      <w:r w:rsidRPr="00AF56B0">
        <w:rPr>
          <w:sz w:val="20"/>
          <w:szCs w:val="20"/>
        </w:rPr>
        <w:t>, vol. 36, pp. 552–566, 2013.</w:t>
      </w:r>
    </w:p>
    <w:p w14:paraId="21AC6027" w14:textId="77777777" w:rsidR="00007D1E" w:rsidRPr="00AF56B0" w:rsidRDefault="00007D1E" w:rsidP="00C53934">
      <w:pPr>
        <w:pStyle w:val="NormalWeb"/>
        <w:jc w:val="both"/>
        <w:rPr>
          <w:sz w:val="20"/>
          <w:szCs w:val="20"/>
        </w:rPr>
      </w:pPr>
      <w:r w:rsidRPr="00AF56B0">
        <w:rPr>
          <w:sz w:val="20"/>
          <w:szCs w:val="20"/>
        </w:rPr>
        <w:t xml:space="preserve">[5] H. Ramkissoon, B. Weiler, and L. D. G. Smith, “Place attachment and pro-environmental behaviour in national parks,” </w:t>
      </w:r>
      <w:r w:rsidRPr="00AF56B0">
        <w:rPr>
          <w:rStyle w:val="Emphasis"/>
          <w:sz w:val="20"/>
          <w:szCs w:val="20"/>
        </w:rPr>
        <w:t>Journal of Sustainable Tourism</w:t>
      </w:r>
      <w:r w:rsidRPr="00AF56B0">
        <w:rPr>
          <w:sz w:val="20"/>
          <w:szCs w:val="20"/>
        </w:rPr>
        <w:t>, vol. 20, no. 2, pp. 257–276, 2012.</w:t>
      </w:r>
    </w:p>
    <w:p w14:paraId="6CF18CE9" w14:textId="77777777" w:rsidR="00007D1E" w:rsidRPr="00AF56B0" w:rsidRDefault="00007D1E" w:rsidP="00C53934">
      <w:pPr>
        <w:pStyle w:val="NormalWeb"/>
        <w:jc w:val="both"/>
        <w:rPr>
          <w:sz w:val="20"/>
          <w:szCs w:val="20"/>
        </w:rPr>
      </w:pPr>
      <w:r w:rsidRPr="00AF56B0">
        <w:rPr>
          <w:sz w:val="20"/>
          <w:szCs w:val="20"/>
        </w:rPr>
        <w:t xml:space="preserve">[6] J.-H. Kim, “The impact of memorable tourism experiences on loyalty behaviors: The mediating effects of destination image and satisfaction,” </w:t>
      </w:r>
      <w:r w:rsidRPr="00AF56B0">
        <w:rPr>
          <w:rStyle w:val="Emphasis"/>
          <w:sz w:val="20"/>
          <w:szCs w:val="20"/>
        </w:rPr>
        <w:t>Journal of Travel Research</w:t>
      </w:r>
      <w:r w:rsidRPr="00AF56B0">
        <w:rPr>
          <w:sz w:val="20"/>
          <w:szCs w:val="20"/>
        </w:rPr>
        <w:t>, vol. 57, no. 7, pp. 856–870, 2018.</w:t>
      </w:r>
    </w:p>
    <w:p w14:paraId="09B7B132" w14:textId="77777777" w:rsidR="00007D1E" w:rsidRPr="00AF56B0" w:rsidRDefault="00007D1E" w:rsidP="00C53934">
      <w:pPr>
        <w:pStyle w:val="NormalWeb"/>
        <w:jc w:val="both"/>
        <w:rPr>
          <w:sz w:val="20"/>
          <w:szCs w:val="20"/>
        </w:rPr>
      </w:pPr>
      <w:r w:rsidRPr="00AF56B0">
        <w:rPr>
          <w:sz w:val="20"/>
          <w:szCs w:val="20"/>
        </w:rPr>
        <w:t xml:space="preserve">[7] S. Rasoolimanesh, S. Seyfi, C. M. Hall, and P. Hatamifar, “Understanding memorable tourism experiences and behavioural intentions of heritage tourists,” </w:t>
      </w:r>
      <w:r w:rsidRPr="00AF56B0">
        <w:rPr>
          <w:rStyle w:val="Emphasis"/>
          <w:sz w:val="20"/>
          <w:szCs w:val="20"/>
        </w:rPr>
        <w:t>Journal of Destination Marketing &amp; Management</w:t>
      </w:r>
      <w:r w:rsidRPr="00AF56B0">
        <w:rPr>
          <w:sz w:val="20"/>
          <w:szCs w:val="20"/>
        </w:rPr>
        <w:t>, vol. 21, 100621, 2021.</w:t>
      </w:r>
    </w:p>
    <w:p w14:paraId="67158A07" w14:textId="77777777" w:rsidR="00007D1E" w:rsidRPr="00AF56B0" w:rsidRDefault="00007D1E" w:rsidP="00C53934">
      <w:pPr>
        <w:pStyle w:val="NormalWeb"/>
        <w:jc w:val="both"/>
        <w:rPr>
          <w:sz w:val="20"/>
          <w:szCs w:val="20"/>
        </w:rPr>
      </w:pPr>
      <w:r w:rsidRPr="00AF56B0">
        <w:rPr>
          <w:sz w:val="20"/>
          <w:szCs w:val="20"/>
        </w:rPr>
        <w:t xml:space="preserve">[8] E. Sthapit, P. Björk, D. N. Coudounaris, and J. Jiménez-Barreto, “Memorable halal tourism experience and its effects on place attachment,” </w:t>
      </w:r>
      <w:r w:rsidRPr="00AF56B0">
        <w:rPr>
          <w:rStyle w:val="Emphasis"/>
          <w:sz w:val="20"/>
          <w:szCs w:val="20"/>
        </w:rPr>
        <w:t>International Journal of Hospitality &amp; Tourism Administration</w:t>
      </w:r>
      <w:r w:rsidRPr="00AF56B0">
        <w:rPr>
          <w:sz w:val="20"/>
          <w:szCs w:val="20"/>
        </w:rPr>
        <w:t>, vol. 25, no. 3, pp. 575–601, 2024.</w:t>
      </w:r>
    </w:p>
    <w:p w14:paraId="405D1798" w14:textId="77777777" w:rsidR="00007D1E" w:rsidRPr="00AF56B0" w:rsidRDefault="00007D1E" w:rsidP="00C53934">
      <w:pPr>
        <w:pStyle w:val="NormalWeb"/>
        <w:jc w:val="both"/>
        <w:rPr>
          <w:sz w:val="20"/>
          <w:szCs w:val="20"/>
        </w:rPr>
      </w:pPr>
      <w:r w:rsidRPr="00AF56B0">
        <w:rPr>
          <w:sz w:val="20"/>
          <w:szCs w:val="20"/>
        </w:rPr>
        <w:t xml:space="preserve">[9] D. Scarpi, M. Mason, and F. Raggiotto, “To Rome with love: A moderated mediation model in Roman heritage consumption,” </w:t>
      </w:r>
      <w:r w:rsidRPr="00AF56B0">
        <w:rPr>
          <w:rStyle w:val="Emphasis"/>
          <w:sz w:val="20"/>
          <w:szCs w:val="20"/>
        </w:rPr>
        <w:t>Tourism Management</w:t>
      </w:r>
      <w:r w:rsidRPr="00AF56B0">
        <w:rPr>
          <w:sz w:val="20"/>
          <w:szCs w:val="20"/>
        </w:rPr>
        <w:t>, vol. 71, pp. 389–401, 2019.</w:t>
      </w:r>
    </w:p>
    <w:p w14:paraId="4E5EEF05" w14:textId="77777777" w:rsidR="00007D1E" w:rsidRPr="00AF56B0" w:rsidRDefault="00007D1E" w:rsidP="00C53934">
      <w:pPr>
        <w:pStyle w:val="NormalWeb"/>
        <w:jc w:val="both"/>
        <w:rPr>
          <w:sz w:val="20"/>
          <w:szCs w:val="20"/>
        </w:rPr>
      </w:pPr>
      <w:r w:rsidRPr="00AF56B0">
        <w:rPr>
          <w:sz w:val="20"/>
          <w:szCs w:val="20"/>
        </w:rPr>
        <w:t xml:space="preserve">[10] G. Prayag and C. Ryan, “Antecedents of tourists’ loyalty to Mauritius: The role and influence of destination image, place attachment, personal involvement, and satisfaction,” </w:t>
      </w:r>
      <w:r w:rsidRPr="00AF56B0">
        <w:rPr>
          <w:rStyle w:val="Emphasis"/>
          <w:sz w:val="20"/>
          <w:szCs w:val="20"/>
        </w:rPr>
        <w:t>Journal of Travel Research</w:t>
      </w:r>
      <w:r w:rsidRPr="00AF56B0">
        <w:rPr>
          <w:sz w:val="20"/>
          <w:szCs w:val="20"/>
        </w:rPr>
        <w:t>, vol. 51, no. 3, pp. 342–356, 2012.</w:t>
      </w:r>
    </w:p>
    <w:p w14:paraId="2B0473A0" w14:textId="77777777" w:rsidR="00007D1E" w:rsidRPr="00AF56B0" w:rsidRDefault="00007D1E" w:rsidP="00C53934">
      <w:pPr>
        <w:pStyle w:val="NormalWeb"/>
        <w:jc w:val="both"/>
        <w:rPr>
          <w:sz w:val="20"/>
          <w:szCs w:val="20"/>
        </w:rPr>
      </w:pPr>
      <w:r w:rsidRPr="00AF56B0">
        <w:rPr>
          <w:sz w:val="20"/>
          <w:szCs w:val="20"/>
        </w:rPr>
        <w:t xml:space="preserve">[11] C. Chen and I. Rahman, “Cultural tourism: An analysis of engagement, cultural contact, memorable tourism experience and destination loyalty,” </w:t>
      </w:r>
      <w:r w:rsidRPr="00AF56B0">
        <w:rPr>
          <w:rStyle w:val="Emphasis"/>
          <w:sz w:val="20"/>
          <w:szCs w:val="20"/>
        </w:rPr>
        <w:t>Tourism Management Perspectives</w:t>
      </w:r>
      <w:r w:rsidRPr="00AF56B0">
        <w:rPr>
          <w:sz w:val="20"/>
          <w:szCs w:val="20"/>
        </w:rPr>
        <w:t>, vol. 26, pp. 153–163, 2018.</w:t>
      </w:r>
    </w:p>
    <w:p w14:paraId="64D48EAD" w14:textId="77777777" w:rsidR="00007D1E" w:rsidRPr="00AF56B0" w:rsidRDefault="00007D1E" w:rsidP="00C53934">
      <w:pPr>
        <w:pStyle w:val="NormalWeb"/>
        <w:jc w:val="both"/>
        <w:rPr>
          <w:sz w:val="20"/>
          <w:szCs w:val="20"/>
        </w:rPr>
      </w:pPr>
      <w:r w:rsidRPr="00AF56B0">
        <w:rPr>
          <w:sz w:val="20"/>
          <w:szCs w:val="20"/>
        </w:rPr>
        <w:t xml:space="preserve">[12] E. Seyfi, C. M. Hall, and S. M. Rasoolimanesh, “Exploring memorable cultural tourism experiences,” </w:t>
      </w:r>
      <w:r w:rsidRPr="00AF56B0">
        <w:rPr>
          <w:rStyle w:val="Emphasis"/>
          <w:sz w:val="20"/>
          <w:szCs w:val="20"/>
        </w:rPr>
        <w:t>Journal of Heritage Tourism</w:t>
      </w:r>
      <w:r w:rsidRPr="00AF56B0">
        <w:rPr>
          <w:sz w:val="20"/>
          <w:szCs w:val="20"/>
        </w:rPr>
        <w:t>, vol. 15, no. 3, pp. 341–357, 2020.</w:t>
      </w:r>
    </w:p>
    <w:p w14:paraId="49725C9D" w14:textId="77777777" w:rsidR="00007D1E" w:rsidRPr="00AF56B0" w:rsidRDefault="00007D1E" w:rsidP="00C53934">
      <w:pPr>
        <w:pStyle w:val="NormalWeb"/>
        <w:jc w:val="both"/>
        <w:rPr>
          <w:sz w:val="20"/>
          <w:szCs w:val="20"/>
        </w:rPr>
      </w:pPr>
      <w:r w:rsidRPr="00AF56B0">
        <w:rPr>
          <w:sz w:val="20"/>
          <w:szCs w:val="20"/>
        </w:rPr>
        <w:t xml:space="preserve">[13] W. Shang, Q. Yuan, and N. Chen, “Examining structural relationships among brand experience, existential authenticity, and place attachment in slow tourism destinations,” </w:t>
      </w:r>
      <w:r w:rsidRPr="00AF56B0">
        <w:rPr>
          <w:rStyle w:val="Emphasis"/>
          <w:sz w:val="20"/>
          <w:szCs w:val="20"/>
        </w:rPr>
        <w:t>Sustainability</w:t>
      </w:r>
      <w:r w:rsidRPr="00AF56B0">
        <w:rPr>
          <w:sz w:val="20"/>
          <w:szCs w:val="20"/>
        </w:rPr>
        <w:t>, vol. 12, no. 7, p. 2784, 2020.</w:t>
      </w:r>
    </w:p>
    <w:p w14:paraId="4357BDBD" w14:textId="77777777" w:rsidR="00007D1E" w:rsidRPr="00AF56B0" w:rsidRDefault="00007D1E" w:rsidP="00C53934">
      <w:pPr>
        <w:pStyle w:val="NormalWeb"/>
        <w:jc w:val="both"/>
        <w:rPr>
          <w:sz w:val="20"/>
          <w:szCs w:val="20"/>
        </w:rPr>
      </w:pPr>
      <w:r w:rsidRPr="00AF56B0">
        <w:rPr>
          <w:sz w:val="20"/>
          <w:szCs w:val="20"/>
        </w:rPr>
        <w:t xml:space="preserve">[14] P. Sharma and J. K. Nayak, “Understanding memorable tourism experiences as the determinants of tourists’ behaviour,” </w:t>
      </w:r>
      <w:r w:rsidRPr="00AF56B0">
        <w:rPr>
          <w:rStyle w:val="Emphasis"/>
          <w:sz w:val="20"/>
          <w:szCs w:val="20"/>
        </w:rPr>
        <w:t>International Journal of Tourism Research</w:t>
      </w:r>
      <w:r w:rsidRPr="00AF56B0">
        <w:rPr>
          <w:sz w:val="20"/>
          <w:szCs w:val="20"/>
        </w:rPr>
        <w:t>, vol. 21, no. 4, pp. 504–518, 2019.</w:t>
      </w:r>
    </w:p>
    <w:p w14:paraId="1816D92C" w14:textId="77777777" w:rsidR="00007D1E" w:rsidRPr="00AF56B0" w:rsidRDefault="00007D1E" w:rsidP="00C53934">
      <w:pPr>
        <w:pStyle w:val="NormalWeb"/>
        <w:jc w:val="both"/>
        <w:rPr>
          <w:sz w:val="20"/>
          <w:szCs w:val="20"/>
        </w:rPr>
      </w:pPr>
      <w:r w:rsidRPr="00AF56B0">
        <w:rPr>
          <w:sz w:val="20"/>
          <w:szCs w:val="20"/>
        </w:rPr>
        <w:t xml:space="preserve">[15] C. E. Anton and C. Lawrence, “Home is where the heart is: The effect of place of residence on place attachment and community participation,” </w:t>
      </w:r>
      <w:r w:rsidRPr="00AF56B0">
        <w:rPr>
          <w:rStyle w:val="Emphasis"/>
          <w:sz w:val="20"/>
          <w:szCs w:val="20"/>
        </w:rPr>
        <w:t>Journal of Environmental Psychology</w:t>
      </w:r>
      <w:r w:rsidRPr="00AF56B0">
        <w:rPr>
          <w:sz w:val="20"/>
          <w:szCs w:val="20"/>
        </w:rPr>
        <w:t>, vol. 40, pp. 451–461, 2014.</w:t>
      </w:r>
    </w:p>
    <w:p w14:paraId="3F963AD6" w14:textId="77777777" w:rsidR="00007D1E" w:rsidRPr="00AF56B0" w:rsidRDefault="00007D1E" w:rsidP="00C53934">
      <w:pPr>
        <w:pStyle w:val="NormalWeb"/>
        <w:jc w:val="both"/>
        <w:rPr>
          <w:sz w:val="20"/>
          <w:szCs w:val="20"/>
        </w:rPr>
      </w:pPr>
      <w:r w:rsidRPr="00AF56B0">
        <w:rPr>
          <w:sz w:val="20"/>
          <w:szCs w:val="20"/>
        </w:rPr>
        <w:t xml:space="preserve">[16] S. I. N. W. Abdullah, Z. Samdin, P. Teng, and B. Heng, “The impact of knowledge, attitude, consumption values and destination image on tourists’ responsible environmental behaviour intention,” </w:t>
      </w:r>
      <w:r w:rsidRPr="00AF56B0">
        <w:rPr>
          <w:rStyle w:val="Emphasis"/>
          <w:sz w:val="20"/>
          <w:szCs w:val="20"/>
        </w:rPr>
        <w:t>Management Science Letters</w:t>
      </w:r>
      <w:r w:rsidRPr="00AF56B0">
        <w:rPr>
          <w:sz w:val="20"/>
          <w:szCs w:val="20"/>
        </w:rPr>
        <w:t>, vol. 9, no. 9, pp. 1461–1476, 2019.</w:t>
      </w:r>
    </w:p>
    <w:p w14:paraId="015BF305" w14:textId="77777777" w:rsidR="00007D1E" w:rsidRPr="00AF56B0" w:rsidRDefault="00007D1E" w:rsidP="00C53934">
      <w:pPr>
        <w:pStyle w:val="NormalWeb"/>
        <w:jc w:val="both"/>
        <w:rPr>
          <w:sz w:val="20"/>
          <w:szCs w:val="20"/>
        </w:rPr>
      </w:pPr>
      <w:r w:rsidRPr="00AF56B0">
        <w:rPr>
          <w:sz w:val="20"/>
          <w:szCs w:val="20"/>
        </w:rPr>
        <w:t xml:space="preserve">[17] A. F. D. Araújo, I. A. Marques, L. L. Moreno, and P. C. García, “Bridging the attitude–behavior gap in sustainable tourism: An extended theory of planned behavior model of green hotel purchase intentions,” </w:t>
      </w:r>
      <w:r w:rsidRPr="00AF56B0">
        <w:rPr>
          <w:rStyle w:val="Emphasis"/>
          <w:sz w:val="20"/>
          <w:szCs w:val="20"/>
        </w:rPr>
        <w:t>Tourism and Hospitality</w:t>
      </w:r>
      <w:r w:rsidRPr="00AF56B0">
        <w:rPr>
          <w:sz w:val="20"/>
          <w:szCs w:val="20"/>
        </w:rPr>
        <w:t>, vol. 6, no. 4, pp. 215–232, 2025.</w:t>
      </w:r>
    </w:p>
    <w:p w14:paraId="3F86C109" w14:textId="77777777" w:rsidR="00007D1E" w:rsidRPr="00AF56B0" w:rsidRDefault="00007D1E" w:rsidP="00C53934">
      <w:pPr>
        <w:pStyle w:val="NormalWeb"/>
        <w:jc w:val="both"/>
        <w:rPr>
          <w:sz w:val="20"/>
          <w:szCs w:val="20"/>
        </w:rPr>
      </w:pPr>
      <w:r w:rsidRPr="00AF56B0">
        <w:rPr>
          <w:sz w:val="20"/>
          <w:szCs w:val="20"/>
        </w:rPr>
        <w:t xml:space="preserve">[18] I. Ajzen, “The theory of planned behavior,” </w:t>
      </w:r>
      <w:r w:rsidRPr="00AF56B0">
        <w:rPr>
          <w:rStyle w:val="Emphasis"/>
          <w:sz w:val="20"/>
          <w:szCs w:val="20"/>
        </w:rPr>
        <w:t>Organizational Behavior and Human Decision Processes</w:t>
      </w:r>
      <w:r w:rsidRPr="00AF56B0">
        <w:rPr>
          <w:sz w:val="20"/>
          <w:szCs w:val="20"/>
        </w:rPr>
        <w:t>, vol. 50, no. 2, pp. 179–211, 1991.</w:t>
      </w:r>
    </w:p>
    <w:p w14:paraId="2FA85548" w14:textId="77777777" w:rsidR="00007D1E" w:rsidRPr="00AF56B0" w:rsidRDefault="00007D1E" w:rsidP="00C53934">
      <w:pPr>
        <w:pStyle w:val="NormalWeb"/>
        <w:jc w:val="both"/>
        <w:rPr>
          <w:sz w:val="20"/>
          <w:szCs w:val="20"/>
        </w:rPr>
      </w:pPr>
      <w:r w:rsidRPr="00AF56B0">
        <w:rPr>
          <w:sz w:val="20"/>
          <w:szCs w:val="20"/>
        </w:rPr>
        <w:t xml:space="preserve">[19] I. Bilynets and L. Knežević Cvelbar, “Past, present, and future of the research on the pro-environmental behaviour in tourism: A bibliometric analysis,” </w:t>
      </w:r>
      <w:r w:rsidRPr="00AF56B0">
        <w:rPr>
          <w:rStyle w:val="Emphasis"/>
          <w:sz w:val="20"/>
          <w:szCs w:val="20"/>
        </w:rPr>
        <w:t>Economic and Business Review</w:t>
      </w:r>
      <w:r w:rsidRPr="00AF56B0">
        <w:rPr>
          <w:sz w:val="20"/>
          <w:szCs w:val="20"/>
        </w:rPr>
        <w:t>, vol. 22, no. 2, p. 5, 2020.</w:t>
      </w:r>
    </w:p>
    <w:p w14:paraId="67DC7662" w14:textId="77777777" w:rsidR="00007D1E" w:rsidRPr="00AF56B0" w:rsidRDefault="00007D1E" w:rsidP="00C53934">
      <w:pPr>
        <w:pStyle w:val="NormalWeb"/>
        <w:jc w:val="both"/>
        <w:rPr>
          <w:sz w:val="20"/>
          <w:szCs w:val="20"/>
        </w:rPr>
      </w:pPr>
      <w:r w:rsidRPr="00AF56B0">
        <w:rPr>
          <w:sz w:val="20"/>
          <w:szCs w:val="20"/>
        </w:rPr>
        <w:t xml:space="preserve">[20] N. M. Chau, “Investigating the willingness to pay for green hotels: The effects of destination image and environmental beliefs,” </w:t>
      </w:r>
      <w:r w:rsidRPr="00AF56B0">
        <w:rPr>
          <w:rStyle w:val="Emphasis"/>
          <w:sz w:val="20"/>
          <w:szCs w:val="20"/>
        </w:rPr>
        <w:t>Journal of International Economics and Management</w:t>
      </w:r>
      <w:r w:rsidRPr="00AF56B0">
        <w:rPr>
          <w:sz w:val="20"/>
          <w:szCs w:val="20"/>
        </w:rPr>
        <w:t>, vol. 21, no. 1, pp. 50–62, 2021.</w:t>
      </w:r>
    </w:p>
    <w:p w14:paraId="0FB67588" w14:textId="77777777" w:rsidR="00007D1E" w:rsidRPr="00AF56B0" w:rsidRDefault="00007D1E" w:rsidP="00C53934">
      <w:pPr>
        <w:pStyle w:val="NormalWeb"/>
        <w:jc w:val="both"/>
        <w:rPr>
          <w:sz w:val="20"/>
          <w:szCs w:val="20"/>
        </w:rPr>
      </w:pPr>
      <w:r w:rsidRPr="00AF56B0">
        <w:rPr>
          <w:sz w:val="20"/>
          <w:szCs w:val="20"/>
        </w:rPr>
        <w:t xml:space="preserve">[21] M. F. A. Prawira, I. Ramadhani, V. N. Audita, R. Andrianto, and A. B. A. Prawira, “Pro-environmental behaviour in tourism: A systematic literature review and future research directions,” </w:t>
      </w:r>
      <w:r w:rsidRPr="00AF56B0">
        <w:rPr>
          <w:rStyle w:val="Emphasis"/>
          <w:sz w:val="20"/>
          <w:szCs w:val="20"/>
        </w:rPr>
        <w:t>Journal of Tourism Sustainability</w:t>
      </w:r>
      <w:r w:rsidRPr="00AF56B0">
        <w:rPr>
          <w:sz w:val="20"/>
          <w:szCs w:val="20"/>
        </w:rPr>
        <w:t>, vol. 4, no. 2, pp. 101–114, 2024.</w:t>
      </w:r>
    </w:p>
    <w:p w14:paraId="65C79368" w14:textId="77777777" w:rsidR="00007D1E" w:rsidRPr="00AF56B0" w:rsidRDefault="00007D1E" w:rsidP="00C53934">
      <w:pPr>
        <w:pStyle w:val="NormalWeb"/>
        <w:jc w:val="both"/>
        <w:rPr>
          <w:sz w:val="20"/>
          <w:szCs w:val="20"/>
        </w:rPr>
      </w:pPr>
      <w:r w:rsidRPr="00AF56B0">
        <w:rPr>
          <w:sz w:val="20"/>
          <w:szCs w:val="20"/>
        </w:rPr>
        <w:t xml:space="preserve">[22] A. Mehrabian and J. A. Russell, </w:t>
      </w:r>
      <w:r w:rsidRPr="00AF56B0">
        <w:rPr>
          <w:rStyle w:val="Emphasis"/>
          <w:sz w:val="20"/>
          <w:szCs w:val="20"/>
        </w:rPr>
        <w:t>An Approach to Environmental Psychology</w:t>
      </w:r>
      <w:r w:rsidRPr="00AF56B0">
        <w:rPr>
          <w:sz w:val="20"/>
          <w:szCs w:val="20"/>
        </w:rPr>
        <w:t>. Cambridge, MA: MIT Press, 1974.</w:t>
      </w:r>
    </w:p>
    <w:p w14:paraId="346EF50B" w14:textId="77777777" w:rsidR="00007D1E" w:rsidRPr="00AF56B0" w:rsidRDefault="00007D1E" w:rsidP="00C53934">
      <w:pPr>
        <w:pStyle w:val="NormalWeb"/>
        <w:jc w:val="both"/>
        <w:rPr>
          <w:sz w:val="20"/>
          <w:szCs w:val="20"/>
        </w:rPr>
      </w:pPr>
      <w:r w:rsidRPr="00AF56B0">
        <w:rPr>
          <w:sz w:val="20"/>
          <w:szCs w:val="20"/>
        </w:rPr>
        <w:t xml:space="preserve">[23] H. Oh, A. M. Fiore, and M. Jeoung, “Measuring experience economy concepts: Tourism applications,” </w:t>
      </w:r>
      <w:r w:rsidRPr="00AF56B0">
        <w:rPr>
          <w:rStyle w:val="Emphasis"/>
          <w:sz w:val="20"/>
          <w:szCs w:val="20"/>
        </w:rPr>
        <w:t>Journal of Travel Research</w:t>
      </w:r>
      <w:r w:rsidRPr="00AF56B0">
        <w:rPr>
          <w:sz w:val="20"/>
          <w:szCs w:val="20"/>
        </w:rPr>
        <w:t>, vol. 46, no. 2, pp. 119–132, 2007.</w:t>
      </w:r>
    </w:p>
    <w:p w14:paraId="1FBB6EEE" w14:textId="77777777" w:rsidR="00007D1E" w:rsidRPr="00AF56B0" w:rsidRDefault="00007D1E" w:rsidP="00C53934">
      <w:pPr>
        <w:pStyle w:val="NormalWeb"/>
        <w:jc w:val="both"/>
        <w:rPr>
          <w:sz w:val="20"/>
          <w:szCs w:val="20"/>
        </w:rPr>
      </w:pPr>
      <w:r w:rsidRPr="00AF56B0">
        <w:rPr>
          <w:sz w:val="20"/>
          <w:szCs w:val="20"/>
        </w:rPr>
        <w:t xml:space="preserve">[24] G. Chen, K. K. F. So, X. Hu, and M. Poomchaisuwan, “Travel for affection: A stimulus–organism–response model of honeymoon tourism experiences,” </w:t>
      </w:r>
      <w:r w:rsidRPr="00AF56B0">
        <w:rPr>
          <w:rStyle w:val="Emphasis"/>
          <w:sz w:val="20"/>
          <w:szCs w:val="20"/>
        </w:rPr>
        <w:t>Journal of Hospitality &amp; Tourism Research</w:t>
      </w:r>
      <w:r w:rsidRPr="00AF56B0">
        <w:rPr>
          <w:sz w:val="20"/>
          <w:szCs w:val="20"/>
        </w:rPr>
        <w:t>, vol. 46, no. 6, pp. 1187–1219, 2022.</w:t>
      </w:r>
    </w:p>
    <w:p w14:paraId="749B6252" w14:textId="77777777" w:rsidR="00007D1E" w:rsidRPr="00AF56B0" w:rsidRDefault="00007D1E" w:rsidP="00C53934">
      <w:pPr>
        <w:pStyle w:val="NormalWeb"/>
        <w:jc w:val="both"/>
        <w:rPr>
          <w:sz w:val="20"/>
          <w:szCs w:val="20"/>
        </w:rPr>
      </w:pPr>
      <w:r w:rsidRPr="00AF56B0">
        <w:rPr>
          <w:sz w:val="20"/>
          <w:szCs w:val="20"/>
        </w:rPr>
        <w:t xml:space="preserve">[25] B. A. Adie and C. M. Hall, “Who visits World Heritage? A comparative analysis of three cultural sites,” </w:t>
      </w:r>
      <w:r w:rsidRPr="00AF56B0">
        <w:rPr>
          <w:rStyle w:val="Emphasis"/>
          <w:sz w:val="20"/>
          <w:szCs w:val="20"/>
        </w:rPr>
        <w:t>Journal of Heritage Tourism</w:t>
      </w:r>
      <w:r w:rsidRPr="00AF56B0">
        <w:rPr>
          <w:sz w:val="20"/>
          <w:szCs w:val="20"/>
        </w:rPr>
        <w:t>, vol. 12, no. 1, pp. 67–80, 2017.</w:t>
      </w:r>
    </w:p>
    <w:p w14:paraId="0817D708" w14:textId="77777777" w:rsidR="00007D1E" w:rsidRPr="00AF56B0" w:rsidRDefault="00007D1E" w:rsidP="00C53934">
      <w:pPr>
        <w:pStyle w:val="NormalWeb"/>
        <w:jc w:val="both"/>
        <w:rPr>
          <w:sz w:val="20"/>
          <w:szCs w:val="20"/>
        </w:rPr>
      </w:pPr>
      <w:r w:rsidRPr="00AF56B0">
        <w:rPr>
          <w:sz w:val="20"/>
          <w:szCs w:val="20"/>
        </w:rPr>
        <w:t xml:space="preserve">[26] A. C. Campos, J. Mendes, P. O. D. Valle, and N. Scott, “Co-creation of tourist experiences: A literature review,” </w:t>
      </w:r>
      <w:r w:rsidRPr="00AF56B0">
        <w:rPr>
          <w:rStyle w:val="Emphasis"/>
          <w:sz w:val="20"/>
          <w:szCs w:val="20"/>
        </w:rPr>
        <w:t>Current Issues in Tourism</w:t>
      </w:r>
      <w:r w:rsidRPr="00AF56B0">
        <w:rPr>
          <w:sz w:val="20"/>
          <w:szCs w:val="20"/>
        </w:rPr>
        <w:t>, vol. 21, no. 4, pp. 369–400, 2018.</w:t>
      </w:r>
    </w:p>
    <w:p w14:paraId="15A10F79" w14:textId="77777777" w:rsidR="00007D1E" w:rsidRPr="00AF56B0" w:rsidRDefault="00007D1E" w:rsidP="00C53934">
      <w:pPr>
        <w:pStyle w:val="NormalWeb"/>
        <w:jc w:val="both"/>
        <w:rPr>
          <w:sz w:val="20"/>
          <w:szCs w:val="20"/>
        </w:rPr>
      </w:pPr>
      <w:r w:rsidRPr="00AF56B0">
        <w:rPr>
          <w:sz w:val="20"/>
          <w:szCs w:val="20"/>
        </w:rPr>
        <w:t xml:space="preserve">[27] B. Meng and M. Cui, “The role of co-creation experience in forming tourists’ revisit intention to home-based accommodation: Extending the theory of planned behavior,” </w:t>
      </w:r>
      <w:r w:rsidRPr="00AF56B0">
        <w:rPr>
          <w:rStyle w:val="Emphasis"/>
          <w:sz w:val="20"/>
          <w:szCs w:val="20"/>
        </w:rPr>
        <w:t>Tourism Management Perspectives</w:t>
      </w:r>
      <w:r w:rsidRPr="00AF56B0">
        <w:rPr>
          <w:sz w:val="20"/>
          <w:szCs w:val="20"/>
        </w:rPr>
        <w:t>, vol. 33, 100581, 2020.</w:t>
      </w:r>
    </w:p>
    <w:p w14:paraId="5EDB45F5" w14:textId="77777777" w:rsidR="00007D1E" w:rsidRPr="00AF56B0" w:rsidRDefault="00007D1E" w:rsidP="00C53934">
      <w:pPr>
        <w:pStyle w:val="NormalWeb"/>
        <w:jc w:val="both"/>
        <w:rPr>
          <w:sz w:val="20"/>
          <w:szCs w:val="20"/>
        </w:rPr>
      </w:pPr>
      <w:r w:rsidRPr="00AF56B0">
        <w:rPr>
          <w:sz w:val="20"/>
          <w:szCs w:val="20"/>
        </w:rPr>
        <w:t xml:space="preserve">[28] A. M. MacEachren, “Application of environmental learning theory to spatial knowledge acquisition from maps,” </w:t>
      </w:r>
      <w:r w:rsidRPr="00AF56B0">
        <w:rPr>
          <w:rStyle w:val="Emphasis"/>
          <w:sz w:val="20"/>
          <w:szCs w:val="20"/>
        </w:rPr>
        <w:t>Annals of the Association of American Geographers</w:t>
      </w:r>
      <w:r w:rsidRPr="00AF56B0">
        <w:rPr>
          <w:sz w:val="20"/>
          <w:szCs w:val="20"/>
        </w:rPr>
        <w:t>, vol. 82, no. 2, pp. 245–274, 1992.</w:t>
      </w:r>
    </w:p>
    <w:p w14:paraId="1D17C044" w14:textId="77777777" w:rsidR="00007D1E" w:rsidRPr="00AF56B0" w:rsidRDefault="00007D1E" w:rsidP="00C53934">
      <w:pPr>
        <w:pStyle w:val="NormalWeb"/>
        <w:jc w:val="both"/>
        <w:rPr>
          <w:sz w:val="20"/>
          <w:szCs w:val="20"/>
        </w:rPr>
      </w:pPr>
      <w:r w:rsidRPr="00AF56B0">
        <w:rPr>
          <w:sz w:val="20"/>
          <w:szCs w:val="20"/>
        </w:rPr>
        <w:t xml:space="preserve">[29] T. Li, F. Liu, and G. N. Soutar, “Connecting tourism experience and environmental learning,” </w:t>
      </w:r>
      <w:r w:rsidRPr="00AF56B0">
        <w:rPr>
          <w:rStyle w:val="Emphasis"/>
          <w:sz w:val="20"/>
          <w:szCs w:val="20"/>
        </w:rPr>
        <w:t>Current Issues in Tourism</w:t>
      </w:r>
      <w:r w:rsidRPr="00AF56B0">
        <w:rPr>
          <w:sz w:val="20"/>
          <w:szCs w:val="20"/>
        </w:rPr>
        <w:t>, vol. 24, no. 13, pp. 1792–1797, 2021.</w:t>
      </w:r>
    </w:p>
    <w:p w14:paraId="3337B8A3" w14:textId="77777777" w:rsidR="00007D1E" w:rsidRPr="00AF56B0" w:rsidRDefault="00007D1E" w:rsidP="00C53934">
      <w:pPr>
        <w:pStyle w:val="NormalWeb"/>
        <w:jc w:val="both"/>
        <w:rPr>
          <w:sz w:val="20"/>
          <w:szCs w:val="20"/>
        </w:rPr>
      </w:pPr>
      <w:r w:rsidRPr="00AF56B0">
        <w:rPr>
          <w:sz w:val="20"/>
          <w:szCs w:val="20"/>
        </w:rPr>
        <w:t xml:space="preserve">[30] X. Dai and S. Tang, “Folk festivals as restorative environments based on attention restoration theory – the roles of liminal experience and timing,” </w:t>
      </w:r>
      <w:r w:rsidRPr="00AF56B0">
        <w:rPr>
          <w:rStyle w:val="Emphasis"/>
          <w:sz w:val="20"/>
          <w:szCs w:val="20"/>
        </w:rPr>
        <w:t>Psychology Research and Behavior Management</w:t>
      </w:r>
      <w:r w:rsidRPr="00AF56B0">
        <w:rPr>
          <w:sz w:val="20"/>
          <w:szCs w:val="20"/>
        </w:rPr>
        <w:t>, pp. 1957–1973, 2023.</w:t>
      </w:r>
    </w:p>
    <w:p w14:paraId="7BB30713" w14:textId="77777777" w:rsidR="00007D1E" w:rsidRPr="00AF56B0" w:rsidRDefault="00007D1E" w:rsidP="00C53934">
      <w:pPr>
        <w:pStyle w:val="NormalWeb"/>
        <w:jc w:val="both"/>
        <w:rPr>
          <w:sz w:val="20"/>
          <w:szCs w:val="20"/>
        </w:rPr>
      </w:pPr>
      <w:r w:rsidRPr="00AF56B0">
        <w:rPr>
          <w:sz w:val="20"/>
          <w:szCs w:val="20"/>
        </w:rPr>
        <w:t xml:space="preserve">[31] Q. Liu et al., “More meaningful, more restorative? Linking local landscape characteristics and place attachment to restorative perceptions of urban park visitors,” </w:t>
      </w:r>
      <w:r w:rsidRPr="00AF56B0">
        <w:rPr>
          <w:rStyle w:val="Emphasis"/>
          <w:sz w:val="20"/>
          <w:szCs w:val="20"/>
        </w:rPr>
        <w:t>Landscape and Urban Planning</w:t>
      </w:r>
      <w:r w:rsidRPr="00AF56B0">
        <w:rPr>
          <w:sz w:val="20"/>
          <w:szCs w:val="20"/>
        </w:rPr>
        <w:t>, vol. 197, 103763, 2020.</w:t>
      </w:r>
    </w:p>
    <w:p w14:paraId="1E235725" w14:textId="77777777" w:rsidR="00007D1E" w:rsidRPr="00AF56B0" w:rsidRDefault="00007D1E" w:rsidP="00C53934">
      <w:pPr>
        <w:pStyle w:val="NormalWeb"/>
        <w:jc w:val="both"/>
        <w:rPr>
          <w:sz w:val="20"/>
          <w:szCs w:val="20"/>
        </w:rPr>
      </w:pPr>
      <w:r w:rsidRPr="00AF56B0">
        <w:rPr>
          <w:sz w:val="20"/>
          <w:szCs w:val="20"/>
        </w:rPr>
        <w:t xml:space="preserve">[32] O. Dianita et al., “Does nature’s sounds make me feel more refreshed? Investigation of nature sound stimulus as a micro-refresh during intellectual work,” </w:t>
      </w:r>
      <w:r w:rsidRPr="00AF56B0">
        <w:rPr>
          <w:rStyle w:val="Emphasis"/>
          <w:sz w:val="20"/>
          <w:szCs w:val="20"/>
        </w:rPr>
        <w:t>Cognition, Technology &amp; Work</w:t>
      </w:r>
      <w:r w:rsidRPr="00AF56B0">
        <w:rPr>
          <w:sz w:val="20"/>
          <w:szCs w:val="20"/>
        </w:rPr>
        <w:t>, pp. 1–16, 2026.</w:t>
      </w:r>
    </w:p>
    <w:p w14:paraId="4CD2E801" w14:textId="77777777" w:rsidR="00007D1E" w:rsidRPr="00AF56B0" w:rsidRDefault="00007D1E" w:rsidP="00C53934">
      <w:pPr>
        <w:pStyle w:val="NormalWeb"/>
        <w:jc w:val="both"/>
        <w:rPr>
          <w:sz w:val="20"/>
          <w:szCs w:val="20"/>
        </w:rPr>
      </w:pPr>
      <w:r w:rsidRPr="00AF56B0">
        <w:rPr>
          <w:sz w:val="20"/>
          <w:szCs w:val="20"/>
        </w:rPr>
        <w:t xml:space="preserve">[33] H. Rezapouraghdam et al., “Fascination, place attachment, and environmental stewardship in cultural tourism destinations,” </w:t>
      </w:r>
      <w:r w:rsidRPr="00AF56B0">
        <w:rPr>
          <w:rStyle w:val="Emphasis"/>
          <w:sz w:val="20"/>
          <w:szCs w:val="20"/>
        </w:rPr>
        <w:t>Tourism Recreation Research</w:t>
      </w:r>
      <w:r w:rsidRPr="00AF56B0">
        <w:rPr>
          <w:sz w:val="20"/>
          <w:szCs w:val="20"/>
        </w:rPr>
        <w:t>, vol. 50, no. 7, pp. 1577–1593, 2025.</w:t>
      </w:r>
    </w:p>
    <w:p w14:paraId="521B45BB" w14:textId="77777777" w:rsidR="00007D1E" w:rsidRPr="00AF56B0" w:rsidRDefault="00007D1E" w:rsidP="00C53934">
      <w:pPr>
        <w:pStyle w:val="NormalWeb"/>
        <w:jc w:val="both"/>
        <w:rPr>
          <w:sz w:val="20"/>
          <w:szCs w:val="20"/>
        </w:rPr>
      </w:pPr>
      <w:r w:rsidRPr="00AF56B0">
        <w:rPr>
          <w:sz w:val="20"/>
          <w:szCs w:val="20"/>
        </w:rPr>
        <w:t xml:space="preserve">[34] T. A. Olstad, “Stewardship and sense of place: Assumptions and ideals,” in </w:t>
      </w:r>
      <w:r w:rsidRPr="00AF56B0">
        <w:rPr>
          <w:rStyle w:val="Emphasis"/>
          <w:sz w:val="20"/>
          <w:szCs w:val="20"/>
        </w:rPr>
        <w:t>Stewardship and the Future of the Planet</w:t>
      </w:r>
      <w:r w:rsidRPr="00AF56B0">
        <w:rPr>
          <w:sz w:val="20"/>
          <w:szCs w:val="20"/>
        </w:rPr>
        <w:t>. Routledge, 2022, pp. 13–28.</w:t>
      </w:r>
    </w:p>
    <w:p w14:paraId="7B4EE8D4" w14:textId="77777777" w:rsidR="00007D1E" w:rsidRPr="00AF56B0" w:rsidRDefault="00007D1E" w:rsidP="00C53934">
      <w:pPr>
        <w:pStyle w:val="NormalWeb"/>
        <w:jc w:val="both"/>
        <w:rPr>
          <w:sz w:val="20"/>
          <w:szCs w:val="20"/>
        </w:rPr>
      </w:pPr>
      <w:r w:rsidRPr="00AF56B0">
        <w:rPr>
          <w:sz w:val="20"/>
          <w:szCs w:val="20"/>
        </w:rPr>
        <w:t xml:space="preserve">[35] T. M. Cheng and H. C. Wu, “How do environmental knowledge, environmental sensitivity, and place attachment affect environmentally responsible behavior? An integrated approach for sustainable island tourism,” </w:t>
      </w:r>
      <w:r w:rsidRPr="00AF56B0">
        <w:rPr>
          <w:rStyle w:val="Emphasis"/>
          <w:sz w:val="20"/>
          <w:szCs w:val="20"/>
        </w:rPr>
        <w:t>Journal of Sustainable Tourism</w:t>
      </w:r>
      <w:r w:rsidRPr="00AF56B0">
        <w:rPr>
          <w:sz w:val="20"/>
          <w:szCs w:val="20"/>
        </w:rPr>
        <w:t>, vol. 23, no. 4, pp. 557–576, 2015.</w:t>
      </w:r>
    </w:p>
    <w:p w14:paraId="1D46FB50" w14:textId="77777777" w:rsidR="00007D1E" w:rsidRPr="00AF56B0" w:rsidRDefault="00007D1E" w:rsidP="00C53934">
      <w:pPr>
        <w:pStyle w:val="NormalWeb"/>
        <w:jc w:val="both"/>
        <w:rPr>
          <w:sz w:val="20"/>
          <w:szCs w:val="20"/>
        </w:rPr>
      </w:pPr>
      <w:r w:rsidRPr="00AF56B0">
        <w:rPr>
          <w:sz w:val="20"/>
          <w:szCs w:val="20"/>
        </w:rPr>
        <w:t xml:space="preserve">[36] J. Tonge, M. M. Ryan, S. A. Moore, and L. E. Beckley, “The effect of place attachment on pro-environment behavioral intentions of visitors to coastal natural area tourist destinations,” </w:t>
      </w:r>
      <w:r w:rsidRPr="00AF56B0">
        <w:rPr>
          <w:rStyle w:val="Emphasis"/>
          <w:sz w:val="20"/>
          <w:szCs w:val="20"/>
        </w:rPr>
        <w:t>Journal of Travel Research</w:t>
      </w:r>
      <w:r w:rsidRPr="00AF56B0">
        <w:rPr>
          <w:sz w:val="20"/>
          <w:szCs w:val="20"/>
        </w:rPr>
        <w:t>, vol. 54, no. 6, pp. 730–743, 2015.</w:t>
      </w:r>
    </w:p>
    <w:p w14:paraId="4723EDED" w14:textId="77777777" w:rsidR="00007D1E" w:rsidRPr="00AF56B0" w:rsidRDefault="00007D1E" w:rsidP="00C53934">
      <w:pPr>
        <w:pStyle w:val="NormalWeb"/>
        <w:jc w:val="both"/>
        <w:rPr>
          <w:sz w:val="20"/>
          <w:szCs w:val="20"/>
        </w:rPr>
      </w:pPr>
      <w:r w:rsidRPr="00AF56B0">
        <w:rPr>
          <w:sz w:val="20"/>
          <w:szCs w:val="20"/>
        </w:rPr>
        <w:t xml:space="preserve">[37] E. A. Halpenny, “Pro-environmental behaviours and park visitors: The effect of place attachment,” </w:t>
      </w:r>
      <w:r w:rsidRPr="00AF56B0">
        <w:rPr>
          <w:rStyle w:val="Emphasis"/>
          <w:sz w:val="20"/>
          <w:szCs w:val="20"/>
        </w:rPr>
        <w:t>Journal of Environmental Psychology</w:t>
      </w:r>
      <w:r w:rsidRPr="00AF56B0">
        <w:rPr>
          <w:sz w:val="20"/>
          <w:szCs w:val="20"/>
        </w:rPr>
        <w:t>, vol. 30, no. 4, pp. 409–421, 2010.</w:t>
      </w:r>
    </w:p>
    <w:p w14:paraId="486B69F9" w14:textId="77777777" w:rsidR="00007D1E" w:rsidRPr="00AF56B0" w:rsidRDefault="00007D1E" w:rsidP="00C53934">
      <w:pPr>
        <w:pStyle w:val="NormalWeb"/>
        <w:jc w:val="both"/>
        <w:rPr>
          <w:sz w:val="20"/>
          <w:szCs w:val="20"/>
        </w:rPr>
      </w:pPr>
      <w:r w:rsidRPr="00AF56B0">
        <w:rPr>
          <w:sz w:val="20"/>
          <w:szCs w:val="20"/>
        </w:rPr>
        <w:t xml:space="preserve">[38] Báo Nhân Dân, “Gia Lai mới: Bệ phóng phát triển toàn diện và bền vững,” 2025. [Online]. Available: </w:t>
      </w:r>
      <w:hyperlink r:id="rId9" w:tgtFrame="_new" w:history="1">
        <w:r w:rsidRPr="00AF56B0">
          <w:rPr>
            <w:rStyle w:val="Hyperlink"/>
            <w:sz w:val="20"/>
            <w:szCs w:val="20"/>
          </w:rPr>
          <w:t>https://nhandan.vn</w:t>
        </w:r>
      </w:hyperlink>
      <w:r w:rsidRPr="00AF56B0">
        <w:rPr>
          <w:sz w:val="20"/>
          <w:szCs w:val="20"/>
        </w:rPr>
        <w:t>. Accessed: Jul. 2, 2025.</w:t>
      </w:r>
    </w:p>
    <w:p w14:paraId="5BCD5D3B" w14:textId="77777777" w:rsidR="00007D1E" w:rsidRPr="00AF56B0" w:rsidRDefault="00007D1E" w:rsidP="00C53934">
      <w:pPr>
        <w:pStyle w:val="NormalWeb"/>
        <w:jc w:val="both"/>
        <w:rPr>
          <w:sz w:val="20"/>
          <w:szCs w:val="20"/>
        </w:rPr>
      </w:pPr>
      <w:r w:rsidRPr="00AF56B0">
        <w:rPr>
          <w:sz w:val="20"/>
          <w:szCs w:val="20"/>
        </w:rPr>
        <w:t xml:space="preserve">[39] Ủy ban Nhân dân tỉnh Gia Lai, “Cổng thông tin điện tử tỉnh Gia Lai,” 2025. [Online]. Available: </w:t>
      </w:r>
      <w:hyperlink r:id="rId10" w:tgtFrame="_new" w:history="1">
        <w:r w:rsidRPr="00AF56B0">
          <w:rPr>
            <w:rStyle w:val="Hyperlink"/>
            <w:sz w:val="20"/>
            <w:szCs w:val="20"/>
          </w:rPr>
          <w:t>https://gialai.gov.vn</w:t>
        </w:r>
      </w:hyperlink>
      <w:r w:rsidRPr="00AF56B0">
        <w:rPr>
          <w:sz w:val="20"/>
          <w:szCs w:val="20"/>
        </w:rPr>
        <w:t>. Accessed: Feb. 23, 2026.</w:t>
      </w:r>
    </w:p>
    <w:p w14:paraId="707E9039" w14:textId="77777777" w:rsidR="00007D1E" w:rsidRPr="00AF56B0" w:rsidRDefault="00007D1E" w:rsidP="00C53934">
      <w:pPr>
        <w:pStyle w:val="NormalWeb"/>
        <w:jc w:val="both"/>
        <w:rPr>
          <w:sz w:val="20"/>
          <w:szCs w:val="20"/>
        </w:rPr>
      </w:pPr>
      <w:r w:rsidRPr="00AF56B0">
        <w:rPr>
          <w:sz w:val="20"/>
          <w:szCs w:val="20"/>
        </w:rPr>
        <w:t xml:space="preserve">[40] C. Fornell and D. F. Larcker, “Structural equation models with unobservable variables and measurement error: Algebra and statistics,” </w:t>
      </w:r>
      <w:r w:rsidRPr="00AF56B0">
        <w:rPr>
          <w:rStyle w:val="Emphasis"/>
          <w:sz w:val="20"/>
          <w:szCs w:val="20"/>
        </w:rPr>
        <w:t>Journal of Marketing Research</w:t>
      </w:r>
      <w:r w:rsidRPr="00AF56B0">
        <w:rPr>
          <w:sz w:val="20"/>
          <w:szCs w:val="20"/>
        </w:rPr>
        <w:t>, vol. 18, no. 3, pp. 382–388, 1981.</w:t>
      </w:r>
    </w:p>
    <w:p w14:paraId="426FDB36" w14:textId="77777777" w:rsidR="00007D1E" w:rsidRPr="00AF56B0" w:rsidRDefault="00007D1E" w:rsidP="00C53934">
      <w:pPr>
        <w:pStyle w:val="NormalWeb"/>
        <w:jc w:val="both"/>
        <w:rPr>
          <w:sz w:val="20"/>
          <w:szCs w:val="20"/>
        </w:rPr>
      </w:pPr>
      <w:r w:rsidRPr="00AF56B0">
        <w:rPr>
          <w:sz w:val="20"/>
          <w:szCs w:val="20"/>
        </w:rPr>
        <w:t xml:space="preserve">[41] J. C. Anderson and D. W. Gerbing, “Structural equation modeling in practice: A review and recommended two-step approach,” </w:t>
      </w:r>
      <w:r w:rsidRPr="00AF56B0">
        <w:rPr>
          <w:rStyle w:val="Emphasis"/>
          <w:sz w:val="20"/>
          <w:szCs w:val="20"/>
        </w:rPr>
        <w:t>Psychological Bulletin</w:t>
      </w:r>
      <w:r w:rsidRPr="00AF56B0">
        <w:rPr>
          <w:sz w:val="20"/>
          <w:szCs w:val="20"/>
        </w:rPr>
        <w:t>, vol. 103, no. 3, pp. 411–423, 1988.</w:t>
      </w:r>
    </w:p>
    <w:p w14:paraId="58396DDF" w14:textId="77777777" w:rsidR="00007D1E" w:rsidRPr="00AF56B0" w:rsidRDefault="00007D1E" w:rsidP="00C53934">
      <w:pPr>
        <w:pStyle w:val="NormalWeb"/>
        <w:jc w:val="both"/>
        <w:rPr>
          <w:sz w:val="20"/>
          <w:szCs w:val="20"/>
        </w:rPr>
      </w:pPr>
      <w:r w:rsidRPr="00AF56B0">
        <w:rPr>
          <w:sz w:val="20"/>
          <w:szCs w:val="20"/>
        </w:rPr>
        <w:t xml:space="preserve">[42] J. F. Hair, W. C. Black, B. J. Babin, and R. E. Anderson, </w:t>
      </w:r>
      <w:r w:rsidRPr="00AF56B0">
        <w:rPr>
          <w:rStyle w:val="Emphasis"/>
          <w:sz w:val="20"/>
          <w:szCs w:val="20"/>
        </w:rPr>
        <w:t>Multivariate Data Analysis</w:t>
      </w:r>
      <w:r w:rsidRPr="00AF56B0">
        <w:rPr>
          <w:sz w:val="20"/>
          <w:szCs w:val="20"/>
        </w:rPr>
        <w:t>, 7th ed. Upper Saddle River: Pearson, 2010.</w:t>
      </w:r>
    </w:p>
    <w:p w14:paraId="5AE534DA" w14:textId="0FE1D04E" w:rsidR="00007D1E" w:rsidRPr="00AF56B0" w:rsidRDefault="00007D1E" w:rsidP="00C53934">
      <w:pPr>
        <w:pStyle w:val="NormalWeb"/>
        <w:jc w:val="both"/>
        <w:rPr>
          <w:sz w:val="20"/>
          <w:szCs w:val="20"/>
        </w:rPr>
      </w:pPr>
      <w:r w:rsidRPr="00AF56B0">
        <w:rPr>
          <w:sz w:val="20"/>
          <w:szCs w:val="20"/>
        </w:rPr>
        <w:t xml:space="preserve">[43] R. M. Mancha and C. Y. Yoder, “Cultural antecedents of green behavioral intent: An environmental theory of planned behavior,” </w:t>
      </w:r>
      <w:r w:rsidRPr="00AF56B0">
        <w:rPr>
          <w:rStyle w:val="Emphasis"/>
          <w:sz w:val="20"/>
          <w:szCs w:val="20"/>
        </w:rPr>
        <w:t>Journal of Environmental Psychology</w:t>
      </w:r>
      <w:r w:rsidRPr="00AF56B0">
        <w:rPr>
          <w:sz w:val="20"/>
          <w:szCs w:val="20"/>
        </w:rPr>
        <w:t>, vol. 43, pp. 145–154, 2015.</w:t>
      </w:r>
    </w:p>
    <w:p w14:paraId="2629739A" w14:textId="71E6951A" w:rsidR="00007D1E" w:rsidRPr="00AF56B0" w:rsidRDefault="00007D1E" w:rsidP="00C53934">
      <w:pPr>
        <w:pStyle w:val="NormalWeb"/>
        <w:jc w:val="both"/>
        <w:rPr>
          <w:sz w:val="20"/>
          <w:szCs w:val="20"/>
        </w:rPr>
      </w:pPr>
      <w:r w:rsidRPr="00AF56B0">
        <w:rPr>
          <w:sz w:val="20"/>
          <w:szCs w:val="20"/>
        </w:rPr>
        <w:t xml:space="preserve">[44] B. G. Tabachnick and L. S. Fidell, </w:t>
      </w:r>
      <w:r w:rsidRPr="00AF56B0">
        <w:rPr>
          <w:rStyle w:val="Emphasis"/>
          <w:sz w:val="20"/>
          <w:szCs w:val="20"/>
        </w:rPr>
        <w:t>Using Multivariate Statistics</w:t>
      </w:r>
      <w:r w:rsidRPr="00AF56B0">
        <w:rPr>
          <w:sz w:val="20"/>
          <w:szCs w:val="20"/>
        </w:rPr>
        <w:t>, 6th ed. Boston, MA: Pearson, 2013.</w:t>
      </w:r>
    </w:p>
    <w:p w14:paraId="1F449DB5" w14:textId="43FD2689" w:rsidR="00007D1E" w:rsidRPr="00AF56B0" w:rsidRDefault="00007D1E" w:rsidP="00C53934">
      <w:pPr>
        <w:pStyle w:val="NormalWeb"/>
        <w:jc w:val="both"/>
        <w:rPr>
          <w:sz w:val="20"/>
          <w:szCs w:val="20"/>
        </w:rPr>
      </w:pPr>
      <w:r w:rsidRPr="00AF56B0">
        <w:rPr>
          <w:sz w:val="20"/>
          <w:szCs w:val="20"/>
        </w:rPr>
        <w:t xml:space="preserve">[45] R. B. Kline, </w:t>
      </w:r>
      <w:r w:rsidRPr="00AF56B0">
        <w:rPr>
          <w:rStyle w:val="Emphasis"/>
          <w:sz w:val="20"/>
          <w:szCs w:val="20"/>
        </w:rPr>
        <w:t>Becoming a Behavioral Science Researcher: A Guide to Producing Research That Matters</w:t>
      </w:r>
      <w:r w:rsidRPr="00AF56B0">
        <w:rPr>
          <w:sz w:val="20"/>
          <w:szCs w:val="20"/>
        </w:rPr>
        <w:t>. New York: Guilford Press, 2008.</w:t>
      </w:r>
    </w:p>
    <w:p w14:paraId="6C3FFDFD" w14:textId="154D41AC" w:rsidR="00F24AEC" w:rsidRDefault="00F24AEC">
      <w:pPr>
        <w:rPr>
          <w:rFonts w:cs="Times New Roman"/>
          <w:sz w:val="20"/>
          <w:szCs w:val="20"/>
        </w:rPr>
      </w:pPr>
      <w:r>
        <w:rPr>
          <w:rFonts w:cs="Times New Roman"/>
          <w:sz w:val="20"/>
          <w:szCs w:val="20"/>
        </w:rPr>
        <w:br w:type="page"/>
      </w:r>
    </w:p>
    <w:p w14:paraId="1B3A9B05" w14:textId="77777777" w:rsidR="00F24AEC" w:rsidRDefault="00F24AEC" w:rsidP="00F24AEC">
      <w:pPr>
        <w:pStyle w:val="NormalWeb"/>
        <w:spacing w:before="120" w:beforeAutospacing="0" w:after="120" w:afterAutospacing="0"/>
        <w:rPr>
          <w:rStyle w:val="Strong"/>
          <w:sz w:val="22"/>
          <w:szCs w:val="22"/>
        </w:rPr>
        <w:sectPr w:rsidR="00F24AEC" w:rsidSect="00E72C1E">
          <w:type w:val="continuous"/>
          <w:pgSz w:w="12240" w:h="15840"/>
          <w:pgMar w:top="1134" w:right="1134" w:bottom="1134" w:left="1418" w:header="720" w:footer="720" w:gutter="0"/>
          <w:cols w:num="2" w:space="720"/>
          <w:docGrid w:linePitch="360"/>
        </w:sectPr>
      </w:pPr>
    </w:p>
    <w:p w14:paraId="6081A262" w14:textId="77777777" w:rsidR="00F24AEC" w:rsidRDefault="00F24AEC" w:rsidP="00F24AEC">
      <w:pPr>
        <w:pStyle w:val="NormalWeb"/>
        <w:spacing w:before="120" w:beforeAutospacing="0" w:after="120" w:afterAutospacing="0"/>
        <w:rPr>
          <w:rStyle w:val="Strong"/>
          <w:sz w:val="22"/>
          <w:szCs w:val="22"/>
        </w:rPr>
      </w:pPr>
    </w:p>
    <w:p w14:paraId="63BCAD60" w14:textId="26A6371A" w:rsidR="00F24AEC" w:rsidRDefault="00F24AEC" w:rsidP="00F24AEC">
      <w:pPr>
        <w:pStyle w:val="NormalWeb"/>
        <w:spacing w:before="120" w:beforeAutospacing="0" w:after="120" w:afterAutospacing="0"/>
        <w:jc w:val="center"/>
        <w:rPr>
          <w:rFonts w:ascii="Arial" w:hAnsi="Arial" w:cs="Arial"/>
          <w:b/>
          <w:sz w:val="32"/>
          <w:szCs w:val="32"/>
        </w:rPr>
      </w:pPr>
      <w:r w:rsidRPr="00F24AEC">
        <w:rPr>
          <w:rFonts w:ascii="Arial" w:hAnsi="Arial" w:cs="Arial"/>
          <w:b/>
          <w:sz w:val="32"/>
          <w:szCs w:val="32"/>
        </w:rPr>
        <w:t>Từ trải nghiệm du lịch đáng nhớ đến ý định hành vi xanh: Vai trò trung gian của sự gắn kết với điểm du lịch trong bối cảnh một điểm đến đa hệ sinh thái mới nổi</w:t>
      </w:r>
    </w:p>
    <w:p w14:paraId="519CA17B" w14:textId="00EBDF01" w:rsidR="00F24AEC" w:rsidRDefault="00F24AEC" w:rsidP="00F24AEC">
      <w:pPr>
        <w:pStyle w:val="NormalWeb"/>
        <w:spacing w:before="120" w:beforeAutospacing="0" w:after="120" w:afterAutospacing="0"/>
        <w:jc w:val="center"/>
        <w:rPr>
          <w:rStyle w:val="Strong"/>
          <w:rFonts w:ascii="Arial" w:hAnsi="Arial" w:cs="Arial"/>
          <w:b w:val="0"/>
          <w:sz w:val="32"/>
          <w:szCs w:val="32"/>
        </w:rPr>
      </w:pPr>
    </w:p>
    <w:p w14:paraId="75263C16" w14:textId="708F4A66" w:rsidR="00F24AEC" w:rsidRDefault="00F24AEC" w:rsidP="00F24AEC">
      <w:pPr>
        <w:pStyle w:val="NormalWeb"/>
        <w:jc w:val="center"/>
        <w:rPr>
          <w:rStyle w:val="Strong"/>
        </w:rPr>
      </w:pPr>
      <w:r>
        <w:rPr>
          <w:rStyle w:val="Strong"/>
        </w:rPr>
        <w:t>Phạm Trần Trúc Viên¹*, Nguyễn Thị Bích Liễu¹, Trần Hoàng Phú</w:t>
      </w:r>
    </w:p>
    <w:p w14:paraId="4426300D" w14:textId="77777777" w:rsidR="00F24AEC" w:rsidRDefault="00F24AEC" w:rsidP="00F24AEC">
      <w:pPr>
        <w:pStyle w:val="NormalWeb"/>
        <w:jc w:val="center"/>
      </w:pPr>
    </w:p>
    <w:p w14:paraId="56DC0CF4" w14:textId="7D781AC1" w:rsidR="00F24AEC" w:rsidRDefault="00F24AEC" w:rsidP="00F24AEC">
      <w:pPr>
        <w:pStyle w:val="NormalWeb"/>
        <w:jc w:val="center"/>
        <w:rPr>
          <w:i/>
          <w:sz w:val="22"/>
          <w:szCs w:val="22"/>
        </w:rPr>
      </w:pPr>
      <w:r w:rsidRPr="00F24AEC">
        <w:rPr>
          <w:i/>
          <w:sz w:val="22"/>
          <w:szCs w:val="22"/>
        </w:rPr>
        <w:t>¹Khoa Tài chính – Ngân hàng và Quản trị Kinh doanh, Trường Đại học Quy Nhơn, 170 An Dương Vương, Quy Nhơn Nam, Gia Lai</w:t>
      </w:r>
    </w:p>
    <w:p w14:paraId="03A75567" w14:textId="77777777" w:rsidR="00F24AEC" w:rsidRPr="00F24AEC" w:rsidRDefault="00F24AEC" w:rsidP="00F24AEC">
      <w:pPr>
        <w:pStyle w:val="NormalWeb"/>
        <w:jc w:val="center"/>
        <w:rPr>
          <w:i/>
          <w:sz w:val="22"/>
          <w:szCs w:val="22"/>
        </w:rPr>
      </w:pPr>
    </w:p>
    <w:p w14:paraId="52E9DB4F" w14:textId="1973FE9F" w:rsidR="00F24AEC" w:rsidRDefault="00F24AEC" w:rsidP="00F24AEC">
      <w:pPr>
        <w:pStyle w:val="NormalWeb"/>
        <w:jc w:val="center"/>
        <w:rPr>
          <w:i/>
          <w:sz w:val="22"/>
          <w:szCs w:val="22"/>
        </w:rPr>
      </w:pPr>
      <w:r w:rsidRPr="00F24AEC">
        <w:rPr>
          <w:i/>
          <w:sz w:val="22"/>
          <w:szCs w:val="22"/>
        </w:rPr>
        <w:t xml:space="preserve">*Tác giả liên hệ: </w:t>
      </w:r>
      <w:hyperlink r:id="rId11" w:history="1">
        <w:r w:rsidRPr="00483E7B">
          <w:rPr>
            <w:rStyle w:val="Hyperlink"/>
            <w:i/>
            <w:sz w:val="22"/>
            <w:szCs w:val="22"/>
          </w:rPr>
          <w:t>phamtrantrucvien@qnu.edu.vn</w:t>
        </w:r>
      </w:hyperlink>
    </w:p>
    <w:p w14:paraId="11FBD88E" w14:textId="77777777" w:rsidR="00F24AEC" w:rsidRDefault="00F24AEC" w:rsidP="00F24AEC">
      <w:pPr>
        <w:ind w:right="70"/>
        <w:jc w:val="center"/>
        <w:rPr>
          <w:i/>
          <w:sz w:val="22"/>
        </w:rPr>
      </w:pPr>
      <w:r>
        <w:rPr>
          <w:i/>
          <w:sz w:val="22"/>
        </w:rPr>
        <w:t>Ngày nhận bài: dd/mm/yyyy; Ngày sửa bài: dd/mm/yyyy;</w:t>
      </w:r>
    </w:p>
    <w:p w14:paraId="05AF7B4F" w14:textId="77777777" w:rsidR="00F24AEC" w:rsidRDefault="00F24AEC" w:rsidP="00F24AEC">
      <w:pPr>
        <w:ind w:right="70"/>
        <w:jc w:val="center"/>
        <w:rPr>
          <w:i/>
          <w:sz w:val="22"/>
        </w:rPr>
      </w:pPr>
      <w:r>
        <w:rPr>
          <w:i/>
          <w:sz w:val="22"/>
        </w:rPr>
        <w:t>Ngày nhận đăng: dd/mm/yyyy; Ngày xuất bản: dd/mm/yyyy</w:t>
      </w:r>
    </w:p>
    <w:p w14:paraId="5FBA3468" w14:textId="77777777" w:rsidR="00F24AEC" w:rsidRDefault="00F24AEC" w:rsidP="00F24AEC">
      <w:pPr>
        <w:pStyle w:val="NormalWeb"/>
        <w:spacing w:before="120" w:beforeAutospacing="0" w:after="120" w:afterAutospacing="0"/>
        <w:rPr>
          <w:rStyle w:val="Strong"/>
          <w:sz w:val="22"/>
          <w:szCs w:val="22"/>
        </w:rPr>
      </w:pPr>
    </w:p>
    <w:p w14:paraId="1EF9395A" w14:textId="77777777" w:rsidR="00F24AEC" w:rsidRDefault="00F24AEC" w:rsidP="00F24AEC">
      <w:pPr>
        <w:pStyle w:val="NormalWeb"/>
        <w:spacing w:before="120" w:beforeAutospacing="0" w:after="120" w:afterAutospacing="0"/>
        <w:rPr>
          <w:rStyle w:val="Strong"/>
          <w:sz w:val="22"/>
          <w:szCs w:val="22"/>
        </w:rPr>
      </w:pPr>
    </w:p>
    <w:p w14:paraId="708D041D" w14:textId="05797139" w:rsidR="00F24AEC" w:rsidRPr="00A47525" w:rsidRDefault="00F24AEC" w:rsidP="00F24AEC">
      <w:pPr>
        <w:pStyle w:val="NormalWeb"/>
        <w:spacing w:before="120" w:beforeAutospacing="0" w:after="120" w:afterAutospacing="0"/>
        <w:rPr>
          <w:sz w:val="22"/>
          <w:szCs w:val="22"/>
        </w:rPr>
      </w:pPr>
      <w:r w:rsidRPr="00A47525">
        <w:rPr>
          <w:rStyle w:val="Strong"/>
          <w:sz w:val="22"/>
          <w:szCs w:val="22"/>
        </w:rPr>
        <w:t>TÓM TẮT</w:t>
      </w:r>
    </w:p>
    <w:p w14:paraId="028142B4" w14:textId="77777777" w:rsidR="00CB21C6" w:rsidRPr="00CB21C6" w:rsidRDefault="00CB21C6" w:rsidP="00CB21C6">
      <w:pPr>
        <w:pStyle w:val="NormalWeb"/>
        <w:spacing w:before="120" w:after="120"/>
        <w:ind w:firstLine="720"/>
        <w:jc w:val="both"/>
        <w:rPr>
          <w:sz w:val="20"/>
          <w:szCs w:val="20"/>
        </w:rPr>
      </w:pPr>
      <w:r w:rsidRPr="00CB21C6">
        <w:rPr>
          <w:sz w:val="20"/>
          <w:szCs w:val="20"/>
        </w:rPr>
        <w:t>Nghiên cứu này phân tích tác động của trải nghiệm du lịch đáng nhớ (MTE) đến ý định hành vi xanh thông qua vai trò trung gian của sự gắn kết với điểm du lịch trong bối cảnh một điểm đến đa hệ sinh thái mới nổi. Dựa trên khung kích thích – chủ thể – phản ứng (S-O-R), nghiên cứu kiểm định mô hình bằng dữ liệu khảo sát du khách nội địa tại Gia Lai. Kết quả cho thấy các thành phần MTE có mức độ ảnh hưởng khác nhau: văn hóa địa phương, sự phục hồi và kiến thức tác động tích cực đến sự gắn kết, trong khi tính hưởng thụ, tính mới lạ, ý nghĩa và mức độ tham gia không có ý nghĩa thống kê. Sự gắn kết với điểm du lịch có ảnh hưởng tích cực mạnh đến ý định hành vi xanh. Kết quả khẳng định vai trò của các trải nghiệm mang ý nghĩa cảm xúc và nhận thức trong việc thúc đẩy hành vi du lịch bền vững. Nghiên cứu đóng góp bằng cách xác định những thành phần trải nghiệm hiệu quả trong việc hình thành sự gắn kết, đồng thời làm rõ vai trò trung gian của biến này trong việc chuyển hóa trải nghiệm thành ý định thân thiện với môi trường. Về thực tiễn, các nhà quản lý nên ưu tiên phát triển các trải nghiệm mang tính xác thực văn hóa, phục hồi và định hướng học hỏi nhằm tăng cường mối liên kết giữa du khách và điểm du lịch, qua đó thúc đẩy hành vi có trách nhiệm với môi trường.</w:t>
      </w:r>
    </w:p>
    <w:p w14:paraId="3C39DDFB" w14:textId="77777777" w:rsidR="00F24AEC" w:rsidRDefault="00F24AEC" w:rsidP="00F24AEC">
      <w:pPr>
        <w:pStyle w:val="NormalWeb"/>
        <w:spacing w:before="120" w:beforeAutospacing="0" w:after="120" w:afterAutospacing="0"/>
        <w:jc w:val="both"/>
        <w:rPr>
          <w:i/>
          <w:sz w:val="20"/>
          <w:szCs w:val="20"/>
        </w:rPr>
        <w:sectPr w:rsidR="00F24AEC" w:rsidSect="00F24AEC">
          <w:type w:val="continuous"/>
          <w:pgSz w:w="12240" w:h="15840"/>
          <w:pgMar w:top="1134" w:right="1134" w:bottom="1134" w:left="1418" w:header="720" w:footer="720" w:gutter="0"/>
          <w:cols w:space="720"/>
          <w:docGrid w:linePitch="360"/>
        </w:sectPr>
      </w:pPr>
      <w:r w:rsidRPr="00FE198B">
        <w:rPr>
          <w:rStyle w:val="Strong"/>
          <w:rFonts w:eastAsiaTheme="majorEastAsia"/>
          <w:sz w:val="22"/>
          <w:szCs w:val="22"/>
        </w:rPr>
        <w:t>Từ khóa:</w:t>
      </w:r>
      <w:r>
        <w:rPr>
          <w:rStyle w:val="Strong"/>
          <w:rFonts w:eastAsiaTheme="majorEastAsia"/>
        </w:rPr>
        <w:t xml:space="preserve"> </w:t>
      </w:r>
      <w:r w:rsidRPr="00AF56B0">
        <w:rPr>
          <w:i/>
          <w:sz w:val="20"/>
          <w:szCs w:val="20"/>
        </w:rPr>
        <w:t xml:space="preserve">Trải nghiệm du lịch đáng nhớ, Gắn kết điểm đến, Ý định hành vi xanh, Du lịch bền vững, Gia </w:t>
      </w:r>
    </w:p>
    <w:p w14:paraId="77C27C8B" w14:textId="3259DB2B" w:rsidR="00F24AEC" w:rsidRPr="00FE198B" w:rsidRDefault="00F24AEC" w:rsidP="00F24AEC">
      <w:pPr>
        <w:pStyle w:val="NormalWeb"/>
        <w:spacing w:before="120" w:beforeAutospacing="0" w:after="120" w:afterAutospacing="0"/>
        <w:rPr>
          <w:sz w:val="20"/>
          <w:szCs w:val="20"/>
        </w:rPr>
      </w:pPr>
      <w:r w:rsidRPr="00AF56B0">
        <w:rPr>
          <w:i/>
          <w:sz w:val="20"/>
          <w:szCs w:val="20"/>
        </w:rPr>
        <w:t>Lai.</w:t>
      </w:r>
    </w:p>
    <w:p w14:paraId="4FDD1C21" w14:textId="77777777" w:rsidR="00FF5A55" w:rsidRPr="00AF56B0" w:rsidRDefault="00FF5A55" w:rsidP="00C53934">
      <w:pPr>
        <w:jc w:val="both"/>
        <w:rPr>
          <w:rFonts w:cs="Times New Roman"/>
          <w:sz w:val="20"/>
          <w:szCs w:val="20"/>
        </w:rPr>
      </w:pPr>
    </w:p>
    <w:sectPr w:rsidR="00FF5A55" w:rsidRPr="00AF56B0" w:rsidSect="00E72C1E">
      <w:type w:val="continuous"/>
      <w:pgSz w:w="12240" w:h="15840"/>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230"/>
    <w:multiLevelType w:val="hybridMultilevel"/>
    <w:tmpl w:val="F174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F5EF0"/>
    <w:multiLevelType w:val="multilevel"/>
    <w:tmpl w:val="BF5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81B2F"/>
    <w:multiLevelType w:val="multilevel"/>
    <w:tmpl w:val="1240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F2444"/>
    <w:multiLevelType w:val="hybridMultilevel"/>
    <w:tmpl w:val="F174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17876"/>
    <w:multiLevelType w:val="hybridMultilevel"/>
    <w:tmpl w:val="041634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23694"/>
    <w:multiLevelType w:val="multilevel"/>
    <w:tmpl w:val="1A08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432DF"/>
    <w:multiLevelType w:val="multilevel"/>
    <w:tmpl w:val="84C6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KTPT&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detz2wlzrsf3efaavvr2amaatxwtvv05ss&quot;&gt;My EndNote Library&lt;record-ids&gt;&lt;item&gt;279&lt;/item&gt;&lt;item&gt;487&lt;/item&gt;&lt;/record-ids&gt;&lt;/item&gt;&lt;/Libraries&gt;"/>
  </w:docVars>
  <w:rsids>
    <w:rsidRoot w:val="00845527"/>
    <w:rsid w:val="00004012"/>
    <w:rsid w:val="00007D1E"/>
    <w:rsid w:val="00015685"/>
    <w:rsid w:val="00025D68"/>
    <w:rsid w:val="000B3E38"/>
    <w:rsid w:val="001169AD"/>
    <w:rsid w:val="00140CE1"/>
    <w:rsid w:val="00144B90"/>
    <w:rsid w:val="002051E7"/>
    <w:rsid w:val="002651A1"/>
    <w:rsid w:val="00294DFF"/>
    <w:rsid w:val="002D46AE"/>
    <w:rsid w:val="00327346"/>
    <w:rsid w:val="00365CC9"/>
    <w:rsid w:val="003C22E5"/>
    <w:rsid w:val="003C431D"/>
    <w:rsid w:val="004171F4"/>
    <w:rsid w:val="00422047"/>
    <w:rsid w:val="00430FF8"/>
    <w:rsid w:val="00463F76"/>
    <w:rsid w:val="00472CE7"/>
    <w:rsid w:val="00493F5A"/>
    <w:rsid w:val="0049577B"/>
    <w:rsid w:val="0049659E"/>
    <w:rsid w:val="004E796D"/>
    <w:rsid w:val="004F0AF2"/>
    <w:rsid w:val="005B6A8D"/>
    <w:rsid w:val="005F5CA9"/>
    <w:rsid w:val="00607784"/>
    <w:rsid w:val="00671957"/>
    <w:rsid w:val="0067617E"/>
    <w:rsid w:val="0072179E"/>
    <w:rsid w:val="007802CA"/>
    <w:rsid w:val="0078297E"/>
    <w:rsid w:val="007A40F9"/>
    <w:rsid w:val="007C239E"/>
    <w:rsid w:val="0082231A"/>
    <w:rsid w:val="00832EF8"/>
    <w:rsid w:val="008429C2"/>
    <w:rsid w:val="00845527"/>
    <w:rsid w:val="008853AA"/>
    <w:rsid w:val="008B361C"/>
    <w:rsid w:val="008C4746"/>
    <w:rsid w:val="009C0D3C"/>
    <w:rsid w:val="00A14495"/>
    <w:rsid w:val="00A3140A"/>
    <w:rsid w:val="00A3775A"/>
    <w:rsid w:val="00A47525"/>
    <w:rsid w:val="00A620A3"/>
    <w:rsid w:val="00A97A16"/>
    <w:rsid w:val="00AE4A7E"/>
    <w:rsid w:val="00AF56B0"/>
    <w:rsid w:val="00AF6C8B"/>
    <w:rsid w:val="00B011E4"/>
    <w:rsid w:val="00B31722"/>
    <w:rsid w:val="00B57D0E"/>
    <w:rsid w:val="00B706BE"/>
    <w:rsid w:val="00B93F5E"/>
    <w:rsid w:val="00BC18F8"/>
    <w:rsid w:val="00BD0EAD"/>
    <w:rsid w:val="00C12955"/>
    <w:rsid w:val="00C14077"/>
    <w:rsid w:val="00C53934"/>
    <w:rsid w:val="00C9765B"/>
    <w:rsid w:val="00CB21C6"/>
    <w:rsid w:val="00CC47C6"/>
    <w:rsid w:val="00D059EB"/>
    <w:rsid w:val="00D530AF"/>
    <w:rsid w:val="00D76F7E"/>
    <w:rsid w:val="00D861FD"/>
    <w:rsid w:val="00DB3F17"/>
    <w:rsid w:val="00E11BD9"/>
    <w:rsid w:val="00E20CC7"/>
    <w:rsid w:val="00E72C1E"/>
    <w:rsid w:val="00EB6639"/>
    <w:rsid w:val="00F24AEC"/>
    <w:rsid w:val="00F53470"/>
    <w:rsid w:val="00F73A76"/>
    <w:rsid w:val="00F82B53"/>
    <w:rsid w:val="00F86A80"/>
    <w:rsid w:val="00FE198B"/>
    <w:rsid w:val="00FF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5E5D7"/>
  <w15:chartTrackingRefBased/>
  <w15:docId w15:val="{4C081CF8-69BE-42E8-900C-E7B40BCA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F56B0"/>
    <w:pPr>
      <w:keepNext/>
      <w:keepLines/>
      <w:spacing w:before="240" w:after="0"/>
      <w:outlineLvl w:val="0"/>
    </w:pPr>
    <w:rPr>
      <w:rFonts w:eastAsiaTheme="majorEastAsia" w:cs="Times New Roman"/>
      <w:b/>
      <w:sz w:val="22"/>
    </w:rPr>
  </w:style>
  <w:style w:type="paragraph" w:styleId="Heading2">
    <w:name w:val="heading 2"/>
    <w:basedOn w:val="Normal"/>
    <w:next w:val="Normal"/>
    <w:link w:val="Heading2Char"/>
    <w:autoRedefine/>
    <w:uiPriority w:val="9"/>
    <w:unhideWhenUsed/>
    <w:qFormat/>
    <w:rsid w:val="00FE198B"/>
    <w:pPr>
      <w:keepNext/>
      <w:keepLines/>
      <w:spacing w:before="120" w:after="120" w:line="240" w:lineRule="auto"/>
      <w:outlineLvl w:val="1"/>
    </w:pPr>
    <w:rPr>
      <w:rFonts w:eastAsiaTheme="majorEastAsia" w:cs="Times New Roman"/>
      <w:b/>
      <w:sz w:val="22"/>
    </w:rPr>
  </w:style>
  <w:style w:type="paragraph" w:styleId="Heading3">
    <w:name w:val="heading 3"/>
    <w:basedOn w:val="Normal"/>
    <w:link w:val="Heading3Char"/>
    <w:autoRedefine/>
    <w:uiPriority w:val="9"/>
    <w:qFormat/>
    <w:rsid w:val="00AF56B0"/>
    <w:pPr>
      <w:spacing w:before="120" w:after="120" w:line="240" w:lineRule="auto"/>
      <w:outlineLvl w:val="2"/>
    </w:pPr>
    <w:rPr>
      <w:rFonts w:eastAsia="Times New Roman" w:cs="Times New Roman"/>
      <w:bCs/>
      <w:i/>
      <w:sz w:val="22"/>
    </w:rPr>
  </w:style>
  <w:style w:type="paragraph" w:styleId="Heading4">
    <w:name w:val="heading 4"/>
    <w:basedOn w:val="Normal"/>
    <w:next w:val="Normal"/>
    <w:link w:val="Heading4Char"/>
    <w:uiPriority w:val="9"/>
    <w:unhideWhenUsed/>
    <w:qFormat/>
    <w:rsid w:val="008455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B0"/>
    <w:rPr>
      <w:rFonts w:eastAsiaTheme="majorEastAsia" w:cs="Times New Roman"/>
      <w:b/>
      <w:sz w:val="22"/>
    </w:rPr>
  </w:style>
  <w:style w:type="character" w:customStyle="1" w:styleId="Heading2Char">
    <w:name w:val="Heading 2 Char"/>
    <w:basedOn w:val="DefaultParagraphFont"/>
    <w:link w:val="Heading2"/>
    <w:uiPriority w:val="9"/>
    <w:rsid w:val="00FE198B"/>
    <w:rPr>
      <w:rFonts w:eastAsiaTheme="majorEastAsia" w:cs="Times New Roman"/>
      <w:b/>
      <w:sz w:val="22"/>
    </w:rPr>
  </w:style>
  <w:style w:type="character" w:customStyle="1" w:styleId="Heading3Char">
    <w:name w:val="Heading 3 Char"/>
    <w:basedOn w:val="DefaultParagraphFont"/>
    <w:link w:val="Heading3"/>
    <w:uiPriority w:val="9"/>
    <w:rsid w:val="00AF56B0"/>
    <w:rPr>
      <w:rFonts w:eastAsia="Times New Roman" w:cs="Times New Roman"/>
      <w:bCs/>
      <w:i/>
      <w:sz w:val="22"/>
    </w:rPr>
  </w:style>
  <w:style w:type="paragraph" w:styleId="NormalWeb">
    <w:name w:val="Normal (Web)"/>
    <w:basedOn w:val="Normal"/>
    <w:link w:val="NormalWebChar"/>
    <w:uiPriority w:val="99"/>
    <w:unhideWhenUsed/>
    <w:rsid w:val="0084552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45527"/>
    <w:rPr>
      <w:i/>
      <w:iCs/>
    </w:rPr>
  </w:style>
  <w:style w:type="character" w:styleId="Strong">
    <w:name w:val="Strong"/>
    <w:basedOn w:val="DefaultParagraphFont"/>
    <w:uiPriority w:val="22"/>
    <w:qFormat/>
    <w:rsid w:val="00845527"/>
    <w:rPr>
      <w:b/>
      <w:bCs/>
    </w:rPr>
  </w:style>
  <w:style w:type="character" w:customStyle="1" w:styleId="Heading4Char">
    <w:name w:val="Heading 4 Char"/>
    <w:basedOn w:val="DefaultParagraphFont"/>
    <w:link w:val="Heading4"/>
    <w:uiPriority w:val="9"/>
    <w:rsid w:val="0084552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27346"/>
    <w:rPr>
      <w:color w:val="0000FF"/>
      <w:u w:val="single"/>
    </w:rPr>
  </w:style>
  <w:style w:type="paragraph" w:styleId="ListParagraph">
    <w:name w:val="List Paragraph"/>
    <w:basedOn w:val="Normal"/>
    <w:uiPriority w:val="34"/>
    <w:qFormat/>
    <w:rsid w:val="005F5CA9"/>
    <w:pPr>
      <w:ind w:left="720"/>
      <w:contextualSpacing/>
    </w:pPr>
  </w:style>
  <w:style w:type="character" w:styleId="CommentReference">
    <w:name w:val="annotation reference"/>
    <w:basedOn w:val="DefaultParagraphFont"/>
    <w:uiPriority w:val="99"/>
    <w:semiHidden/>
    <w:unhideWhenUsed/>
    <w:rsid w:val="009C0D3C"/>
    <w:rPr>
      <w:sz w:val="16"/>
      <w:szCs w:val="16"/>
    </w:rPr>
  </w:style>
  <w:style w:type="paragraph" w:styleId="CommentText">
    <w:name w:val="annotation text"/>
    <w:basedOn w:val="Normal"/>
    <w:link w:val="CommentTextChar"/>
    <w:uiPriority w:val="99"/>
    <w:semiHidden/>
    <w:unhideWhenUsed/>
    <w:rsid w:val="009C0D3C"/>
    <w:pPr>
      <w:spacing w:line="240" w:lineRule="auto"/>
    </w:pPr>
    <w:rPr>
      <w:sz w:val="20"/>
      <w:szCs w:val="20"/>
    </w:rPr>
  </w:style>
  <w:style w:type="character" w:customStyle="1" w:styleId="CommentTextChar">
    <w:name w:val="Comment Text Char"/>
    <w:basedOn w:val="DefaultParagraphFont"/>
    <w:link w:val="CommentText"/>
    <w:uiPriority w:val="99"/>
    <w:semiHidden/>
    <w:rsid w:val="009C0D3C"/>
    <w:rPr>
      <w:sz w:val="20"/>
      <w:szCs w:val="20"/>
    </w:rPr>
  </w:style>
  <w:style w:type="paragraph" w:styleId="CommentSubject">
    <w:name w:val="annotation subject"/>
    <w:basedOn w:val="CommentText"/>
    <w:next w:val="CommentText"/>
    <w:link w:val="CommentSubjectChar"/>
    <w:uiPriority w:val="99"/>
    <w:semiHidden/>
    <w:unhideWhenUsed/>
    <w:rsid w:val="009C0D3C"/>
    <w:rPr>
      <w:b/>
      <w:bCs/>
    </w:rPr>
  </w:style>
  <w:style w:type="character" w:customStyle="1" w:styleId="CommentSubjectChar">
    <w:name w:val="Comment Subject Char"/>
    <w:basedOn w:val="CommentTextChar"/>
    <w:link w:val="CommentSubject"/>
    <w:uiPriority w:val="99"/>
    <w:semiHidden/>
    <w:rsid w:val="009C0D3C"/>
    <w:rPr>
      <w:b/>
      <w:bCs/>
      <w:sz w:val="20"/>
      <w:szCs w:val="20"/>
    </w:rPr>
  </w:style>
  <w:style w:type="paragraph" w:styleId="BalloonText">
    <w:name w:val="Balloon Text"/>
    <w:basedOn w:val="Normal"/>
    <w:link w:val="BalloonTextChar"/>
    <w:uiPriority w:val="99"/>
    <w:semiHidden/>
    <w:unhideWhenUsed/>
    <w:rsid w:val="009C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D3C"/>
    <w:rPr>
      <w:rFonts w:ascii="Segoe UI" w:hAnsi="Segoe UI" w:cs="Segoe UI"/>
      <w:sz w:val="18"/>
      <w:szCs w:val="18"/>
    </w:rPr>
  </w:style>
  <w:style w:type="table" w:styleId="TableGrid">
    <w:name w:val="Table Grid"/>
    <w:basedOn w:val="TableNormal"/>
    <w:uiPriority w:val="39"/>
    <w:rsid w:val="003C431D"/>
    <w:pPr>
      <w:spacing w:after="0" w:line="240" w:lineRule="auto"/>
    </w:pPr>
    <w:rPr>
      <w:rFonts w:asciiTheme="minorHAnsi" w:eastAsiaTheme="minorEastAsia" w:hAnsiTheme="minorHAnsi"/>
      <w:kern w:val="2"/>
      <w:sz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3C431D"/>
    <w:rPr>
      <w:rFonts w:eastAsia="Times New Roman" w:cs="Times New Roman"/>
      <w:szCs w:val="24"/>
    </w:rPr>
  </w:style>
  <w:style w:type="paragraph" w:customStyle="1" w:styleId="EndNoteBibliographyTitle">
    <w:name w:val="EndNote Bibliography Title"/>
    <w:basedOn w:val="Normal"/>
    <w:link w:val="EndNoteBibliographyTitleChar"/>
    <w:rsid w:val="003C431D"/>
    <w:pPr>
      <w:spacing w:after="0" w:line="276" w:lineRule="auto"/>
      <w:jc w:val="center"/>
    </w:pPr>
    <w:rPr>
      <w:rFonts w:ascii="Cambria" w:eastAsia="Cambria" w:hAnsi="Cambria" w:cs="Cambria"/>
      <w:noProof/>
      <w:sz w:val="22"/>
      <w:szCs w:val="27"/>
    </w:rPr>
  </w:style>
  <w:style w:type="character" w:customStyle="1" w:styleId="EndNoteBibliographyTitleChar">
    <w:name w:val="EndNote Bibliography Title Char"/>
    <w:basedOn w:val="Heading3Char"/>
    <w:link w:val="EndNoteBibliographyTitle"/>
    <w:rsid w:val="003C431D"/>
    <w:rPr>
      <w:rFonts w:ascii="Cambria" w:eastAsia="Cambria" w:hAnsi="Cambria" w:cs="Cambria"/>
      <w:b w:val="0"/>
      <w:bCs w:val="0"/>
      <w:i w:val="0"/>
      <w:noProof/>
      <w:sz w:val="22"/>
      <w:szCs w:val="27"/>
    </w:rPr>
  </w:style>
  <w:style w:type="paragraph" w:customStyle="1" w:styleId="EndNoteBibliography">
    <w:name w:val="EndNote Bibliography"/>
    <w:basedOn w:val="Normal"/>
    <w:link w:val="EndNoteBibliographyChar"/>
    <w:rsid w:val="003C431D"/>
    <w:pPr>
      <w:spacing w:after="200" w:line="240" w:lineRule="auto"/>
    </w:pPr>
    <w:rPr>
      <w:rFonts w:ascii="Cambria" w:eastAsia="Cambria" w:hAnsi="Cambria" w:cs="Cambria"/>
      <w:noProof/>
      <w:sz w:val="22"/>
      <w:szCs w:val="27"/>
    </w:rPr>
  </w:style>
  <w:style w:type="character" w:customStyle="1" w:styleId="EndNoteBibliographyChar">
    <w:name w:val="EndNote Bibliography Char"/>
    <w:basedOn w:val="Heading3Char"/>
    <w:link w:val="EndNoteBibliography"/>
    <w:rsid w:val="003C431D"/>
    <w:rPr>
      <w:rFonts w:ascii="Cambria" w:eastAsia="Cambria" w:hAnsi="Cambria" w:cs="Cambria"/>
      <w:b w:val="0"/>
      <w:bCs w:val="0"/>
      <w:i w:val="0"/>
      <w:noProof/>
      <w:sz w:val="22"/>
      <w:szCs w:val="27"/>
    </w:rPr>
  </w:style>
  <w:style w:type="character" w:styleId="UnresolvedMention">
    <w:name w:val="Unresolved Mention"/>
    <w:basedOn w:val="DefaultParagraphFont"/>
    <w:uiPriority w:val="99"/>
    <w:semiHidden/>
    <w:unhideWhenUsed/>
    <w:rsid w:val="003C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0288">
      <w:bodyDiv w:val="1"/>
      <w:marLeft w:val="0"/>
      <w:marRight w:val="0"/>
      <w:marTop w:val="0"/>
      <w:marBottom w:val="0"/>
      <w:divBdr>
        <w:top w:val="none" w:sz="0" w:space="0" w:color="auto"/>
        <w:left w:val="none" w:sz="0" w:space="0" w:color="auto"/>
        <w:bottom w:val="none" w:sz="0" w:space="0" w:color="auto"/>
        <w:right w:val="none" w:sz="0" w:space="0" w:color="auto"/>
      </w:divBdr>
    </w:div>
    <w:div w:id="98525219">
      <w:bodyDiv w:val="1"/>
      <w:marLeft w:val="0"/>
      <w:marRight w:val="0"/>
      <w:marTop w:val="0"/>
      <w:marBottom w:val="0"/>
      <w:divBdr>
        <w:top w:val="none" w:sz="0" w:space="0" w:color="auto"/>
        <w:left w:val="none" w:sz="0" w:space="0" w:color="auto"/>
        <w:bottom w:val="none" w:sz="0" w:space="0" w:color="auto"/>
        <w:right w:val="none" w:sz="0" w:space="0" w:color="auto"/>
      </w:divBdr>
    </w:div>
    <w:div w:id="99420736">
      <w:bodyDiv w:val="1"/>
      <w:marLeft w:val="0"/>
      <w:marRight w:val="0"/>
      <w:marTop w:val="0"/>
      <w:marBottom w:val="0"/>
      <w:divBdr>
        <w:top w:val="none" w:sz="0" w:space="0" w:color="auto"/>
        <w:left w:val="none" w:sz="0" w:space="0" w:color="auto"/>
        <w:bottom w:val="none" w:sz="0" w:space="0" w:color="auto"/>
        <w:right w:val="none" w:sz="0" w:space="0" w:color="auto"/>
      </w:divBdr>
    </w:div>
    <w:div w:id="180896009">
      <w:bodyDiv w:val="1"/>
      <w:marLeft w:val="0"/>
      <w:marRight w:val="0"/>
      <w:marTop w:val="0"/>
      <w:marBottom w:val="0"/>
      <w:divBdr>
        <w:top w:val="none" w:sz="0" w:space="0" w:color="auto"/>
        <w:left w:val="none" w:sz="0" w:space="0" w:color="auto"/>
        <w:bottom w:val="none" w:sz="0" w:space="0" w:color="auto"/>
        <w:right w:val="none" w:sz="0" w:space="0" w:color="auto"/>
      </w:divBdr>
    </w:div>
    <w:div w:id="238248691">
      <w:bodyDiv w:val="1"/>
      <w:marLeft w:val="0"/>
      <w:marRight w:val="0"/>
      <w:marTop w:val="0"/>
      <w:marBottom w:val="0"/>
      <w:divBdr>
        <w:top w:val="none" w:sz="0" w:space="0" w:color="auto"/>
        <w:left w:val="none" w:sz="0" w:space="0" w:color="auto"/>
        <w:bottom w:val="none" w:sz="0" w:space="0" w:color="auto"/>
        <w:right w:val="none" w:sz="0" w:space="0" w:color="auto"/>
      </w:divBdr>
      <w:divsChild>
        <w:div w:id="258147462">
          <w:marLeft w:val="0"/>
          <w:marRight w:val="0"/>
          <w:marTop w:val="0"/>
          <w:marBottom w:val="0"/>
          <w:divBdr>
            <w:top w:val="none" w:sz="0" w:space="0" w:color="auto"/>
            <w:left w:val="none" w:sz="0" w:space="0" w:color="auto"/>
            <w:bottom w:val="none" w:sz="0" w:space="0" w:color="auto"/>
            <w:right w:val="none" w:sz="0" w:space="0" w:color="auto"/>
          </w:divBdr>
          <w:divsChild>
            <w:div w:id="941456513">
              <w:marLeft w:val="0"/>
              <w:marRight w:val="0"/>
              <w:marTop w:val="0"/>
              <w:marBottom w:val="0"/>
              <w:divBdr>
                <w:top w:val="none" w:sz="0" w:space="0" w:color="auto"/>
                <w:left w:val="none" w:sz="0" w:space="0" w:color="auto"/>
                <w:bottom w:val="none" w:sz="0" w:space="0" w:color="auto"/>
                <w:right w:val="none" w:sz="0" w:space="0" w:color="auto"/>
              </w:divBdr>
              <w:divsChild>
                <w:div w:id="898783436">
                  <w:marLeft w:val="0"/>
                  <w:marRight w:val="0"/>
                  <w:marTop w:val="0"/>
                  <w:marBottom w:val="0"/>
                  <w:divBdr>
                    <w:top w:val="none" w:sz="0" w:space="0" w:color="auto"/>
                    <w:left w:val="none" w:sz="0" w:space="0" w:color="auto"/>
                    <w:bottom w:val="none" w:sz="0" w:space="0" w:color="auto"/>
                    <w:right w:val="none" w:sz="0" w:space="0" w:color="auto"/>
                  </w:divBdr>
                  <w:divsChild>
                    <w:div w:id="840851414">
                      <w:marLeft w:val="0"/>
                      <w:marRight w:val="0"/>
                      <w:marTop w:val="0"/>
                      <w:marBottom w:val="0"/>
                      <w:divBdr>
                        <w:top w:val="none" w:sz="0" w:space="0" w:color="auto"/>
                        <w:left w:val="none" w:sz="0" w:space="0" w:color="auto"/>
                        <w:bottom w:val="none" w:sz="0" w:space="0" w:color="auto"/>
                        <w:right w:val="none" w:sz="0" w:space="0" w:color="auto"/>
                      </w:divBdr>
                      <w:divsChild>
                        <w:div w:id="625083410">
                          <w:marLeft w:val="0"/>
                          <w:marRight w:val="0"/>
                          <w:marTop w:val="0"/>
                          <w:marBottom w:val="0"/>
                          <w:divBdr>
                            <w:top w:val="none" w:sz="0" w:space="0" w:color="auto"/>
                            <w:left w:val="none" w:sz="0" w:space="0" w:color="auto"/>
                            <w:bottom w:val="none" w:sz="0" w:space="0" w:color="auto"/>
                            <w:right w:val="none" w:sz="0" w:space="0" w:color="auto"/>
                          </w:divBdr>
                          <w:divsChild>
                            <w:div w:id="1055159315">
                              <w:marLeft w:val="0"/>
                              <w:marRight w:val="0"/>
                              <w:marTop w:val="0"/>
                              <w:marBottom w:val="0"/>
                              <w:divBdr>
                                <w:top w:val="none" w:sz="0" w:space="0" w:color="auto"/>
                                <w:left w:val="none" w:sz="0" w:space="0" w:color="auto"/>
                                <w:bottom w:val="none" w:sz="0" w:space="0" w:color="auto"/>
                                <w:right w:val="none" w:sz="0" w:space="0" w:color="auto"/>
                              </w:divBdr>
                              <w:divsChild>
                                <w:div w:id="14547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863542">
      <w:bodyDiv w:val="1"/>
      <w:marLeft w:val="0"/>
      <w:marRight w:val="0"/>
      <w:marTop w:val="0"/>
      <w:marBottom w:val="0"/>
      <w:divBdr>
        <w:top w:val="none" w:sz="0" w:space="0" w:color="auto"/>
        <w:left w:val="none" w:sz="0" w:space="0" w:color="auto"/>
        <w:bottom w:val="none" w:sz="0" w:space="0" w:color="auto"/>
        <w:right w:val="none" w:sz="0" w:space="0" w:color="auto"/>
      </w:divBdr>
    </w:div>
    <w:div w:id="334380144">
      <w:bodyDiv w:val="1"/>
      <w:marLeft w:val="0"/>
      <w:marRight w:val="0"/>
      <w:marTop w:val="0"/>
      <w:marBottom w:val="0"/>
      <w:divBdr>
        <w:top w:val="none" w:sz="0" w:space="0" w:color="auto"/>
        <w:left w:val="none" w:sz="0" w:space="0" w:color="auto"/>
        <w:bottom w:val="none" w:sz="0" w:space="0" w:color="auto"/>
        <w:right w:val="none" w:sz="0" w:space="0" w:color="auto"/>
      </w:divBdr>
    </w:div>
    <w:div w:id="407311361">
      <w:bodyDiv w:val="1"/>
      <w:marLeft w:val="0"/>
      <w:marRight w:val="0"/>
      <w:marTop w:val="0"/>
      <w:marBottom w:val="0"/>
      <w:divBdr>
        <w:top w:val="none" w:sz="0" w:space="0" w:color="auto"/>
        <w:left w:val="none" w:sz="0" w:space="0" w:color="auto"/>
        <w:bottom w:val="none" w:sz="0" w:space="0" w:color="auto"/>
        <w:right w:val="none" w:sz="0" w:space="0" w:color="auto"/>
      </w:divBdr>
    </w:div>
    <w:div w:id="424542727">
      <w:bodyDiv w:val="1"/>
      <w:marLeft w:val="0"/>
      <w:marRight w:val="0"/>
      <w:marTop w:val="0"/>
      <w:marBottom w:val="0"/>
      <w:divBdr>
        <w:top w:val="none" w:sz="0" w:space="0" w:color="auto"/>
        <w:left w:val="none" w:sz="0" w:space="0" w:color="auto"/>
        <w:bottom w:val="none" w:sz="0" w:space="0" w:color="auto"/>
        <w:right w:val="none" w:sz="0" w:space="0" w:color="auto"/>
      </w:divBdr>
    </w:div>
    <w:div w:id="468786801">
      <w:bodyDiv w:val="1"/>
      <w:marLeft w:val="0"/>
      <w:marRight w:val="0"/>
      <w:marTop w:val="0"/>
      <w:marBottom w:val="0"/>
      <w:divBdr>
        <w:top w:val="none" w:sz="0" w:space="0" w:color="auto"/>
        <w:left w:val="none" w:sz="0" w:space="0" w:color="auto"/>
        <w:bottom w:val="none" w:sz="0" w:space="0" w:color="auto"/>
        <w:right w:val="none" w:sz="0" w:space="0" w:color="auto"/>
      </w:divBdr>
    </w:div>
    <w:div w:id="718632965">
      <w:bodyDiv w:val="1"/>
      <w:marLeft w:val="0"/>
      <w:marRight w:val="0"/>
      <w:marTop w:val="0"/>
      <w:marBottom w:val="0"/>
      <w:divBdr>
        <w:top w:val="none" w:sz="0" w:space="0" w:color="auto"/>
        <w:left w:val="none" w:sz="0" w:space="0" w:color="auto"/>
        <w:bottom w:val="none" w:sz="0" w:space="0" w:color="auto"/>
        <w:right w:val="none" w:sz="0" w:space="0" w:color="auto"/>
      </w:divBdr>
    </w:div>
    <w:div w:id="732890792">
      <w:bodyDiv w:val="1"/>
      <w:marLeft w:val="0"/>
      <w:marRight w:val="0"/>
      <w:marTop w:val="0"/>
      <w:marBottom w:val="0"/>
      <w:divBdr>
        <w:top w:val="none" w:sz="0" w:space="0" w:color="auto"/>
        <w:left w:val="none" w:sz="0" w:space="0" w:color="auto"/>
        <w:bottom w:val="none" w:sz="0" w:space="0" w:color="auto"/>
        <w:right w:val="none" w:sz="0" w:space="0" w:color="auto"/>
      </w:divBdr>
    </w:div>
    <w:div w:id="770471455">
      <w:bodyDiv w:val="1"/>
      <w:marLeft w:val="0"/>
      <w:marRight w:val="0"/>
      <w:marTop w:val="0"/>
      <w:marBottom w:val="0"/>
      <w:divBdr>
        <w:top w:val="none" w:sz="0" w:space="0" w:color="auto"/>
        <w:left w:val="none" w:sz="0" w:space="0" w:color="auto"/>
        <w:bottom w:val="none" w:sz="0" w:space="0" w:color="auto"/>
        <w:right w:val="none" w:sz="0" w:space="0" w:color="auto"/>
      </w:divBdr>
    </w:div>
    <w:div w:id="779031838">
      <w:bodyDiv w:val="1"/>
      <w:marLeft w:val="0"/>
      <w:marRight w:val="0"/>
      <w:marTop w:val="0"/>
      <w:marBottom w:val="0"/>
      <w:divBdr>
        <w:top w:val="none" w:sz="0" w:space="0" w:color="auto"/>
        <w:left w:val="none" w:sz="0" w:space="0" w:color="auto"/>
        <w:bottom w:val="none" w:sz="0" w:space="0" w:color="auto"/>
        <w:right w:val="none" w:sz="0" w:space="0" w:color="auto"/>
      </w:divBdr>
    </w:div>
    <w:div w:id="800075120">
      <w:bodyDiv w:val="1"/>
      <w:marLeft w:val="0"/>
      <w:marRight w:val="0"/>
      <w:marTop w:val="0"/>
      <w:marBottom w:val="0"/>
      <w:divBdr>
        <w:top w:val="none" w:sz="0" w:space="0" w:color="auto"/>
        <w:left w:val="none" w:sz="0" w:space="0" w:color="auto"/>
        <w:bottom w:val="none" w:sz="0" w:space="0" w:color="auto"/>
        <w:right w:val="none" w:sz="0" w:space="0" w:color="auto"/>
      </w:divBdr>
    </w:div>
    <w:div w:id="855002276">
      <w:bodyDiv w:val="1"/>
      <w:marLeft w:val="0"/>
      <w:marRight w:val="0"/>
      <w:marTop w:val="0"/>
      <w:marBottom w:val="0"/>
      <w:divBdr>
        <w:top w:val="none" w:sz="0" w:space="0" w:color="auto"/>
        <w:left w:val="none" w:sz="0" w:space="0" w:color="auto"/>
        <w:bottom w:val="none" w:sz="0" w:space="0" w:color="auto"/>
        <w:right w:val="none" w:sz="0" w:space="0" w:color="auto"/>
      </w:divBdr>
      <w:divsChild>
        <w:div w:id="20515979">
          <w:marLeft w:val="0"/>
          <w:marRight w:val="0"/>
          <w:marTop w:val="0"/>
          <w:marBottom w:val="0"/>
          <w:divBdr>
            <w:top w:val="none" w:sz="0" w:space="0" w:color="auto"/>
            <w:left w:val="none" w:sz="0" w:space="0" w:color="auto"/>
            <w:bottom w:val="none" w:sz="0" w:space="0" w:color="auto"/>
            <w:right w:val="none" w:sz="0" w:space="0" w:color="auto"/>
          </w:divBdr>
          <w:divsChild>
            <w:div w:id="331224819">
              <w:marLeft w:val="0"/>
              <w:marRight w:val="0"/>
              <w:marTop w:val="0"/>
              <w:marBottom w:val="0"/>
              <w:divBdr>
                <w:top w:val="none" w:sz="0" w:space="0" w:color="auto"/>
                <w:left w:val="none" w:sz="0" w:space="0" w:color="auto"/>
                <w:bottom w:val="none" w:sz="0" w:space="0" w:color="auto"/>
                <w:right w:val="none" w:sz="0" w:space="0" w:color="auto"/>
              </w:divBdr>
              <w:divsChild>
                <w:div w:id="1726298086">
                  <w:marLeft w:val="0"/>
                  <w:marRight w:val="0"/>
                  <w:marTop w:val="0"/>
                  <w:marBottom w:val="0"/>
                  <w:divBdr>
                    <w:top w:val="none" w:sz="0" w:space="0" w:color="auto"/>
                    <w:left w:val="none" w:sz="0" w:space="0" w:color="auto"/>
                    <w:bottom w:val="none" w:sz="0" w:space="0" w:color="auto"/>
                    <w:right w:val="none" w:sz="0" w:space="0" w:color="auto"/>
                  </w:divBdr>
                  <w:divsChild>
                    <w:div w:id="1705014296">
                      <w:marLeft w:val="0"/>
                      <w:marRight w:val="0"/>
                      <w:marTop w:val="0"/>
                      <w:marBottom w:val="0"/>
                      <w:divBdr>
                        <w:top w:val="none" w:sz="0" w:space="0" w:color="auto"/>
                        <w:left w:val="none" w:sz="0" w:space="0" w:color="auto"/>
                        <w:bottom w:val="none" w:sz="0" w:space="0" w:color="auto"/>
                        <w:right w:val="none" w:sz="0" w:space="0" w:color="auto"/>
                      </w:divBdr>
                      <w:divsChild>
                        <w:div w:id="1668246325">
                          <w:marLeft w:val="0"/>
                          <w:marRight w:val="0"/>
                          <w:marTop w:val="0"/>
                          <w:marBottom w:val="0"/>
                          <w:divBdr>
                            <w:top w:val="none" w:sz="0" w:space="0" w:color="auto"/>
                            <w:left w:val="none" w:sz="0" w:space="0" w:color="auto"/>
                            <w:bottom w:val="none" w:sz="0" w:space="0" w:color="auto"/>
                            <w:right w:val="none" w:sz="0" w:space="0" w:color="auto"/>
                          </w:divBdr>
                          <w:divsChild>
                            <w:div w:id="2018076315">
                              <w:marLeft w:val="0"/>
                              <w:marRight w:val="0"/>
                              <w:marTop w:val="0"/>
                              <w:marBottom w:val="0"/>
                              <w:divBdr>
                                <w:top w:val="none" w:sz="0" w:space="0" w:color="auto"/>
                                <w:left w:val="none" w:sz="0" w:space="0" w:color="auto"/>
                                <w:bottom w:val="none" w:sz="0" w:space="0" w:color="auto"/>
                                <w:right w:val="none" w:sz="0" w:space="0" w:color="auto"/>
                              </w:divBdr>
                              <w:divsChild>
                                <w:div w:id="20903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86537">
      <w:bodyDiv w:val="1"/>
      <w:marLeft w:val="0"/>
      <w:marRight w:val="0"/>
      <w:marTop w:val="0"/>
      <w:marBottom w:val="0"/>
      <w:divBdr>
        <w:top w:val="none" w:sz="0" w:space="0" w:color="auto"/>
        <w:left w:val="none" w:sz="0" w:space="0" w:color="auto"/>
        <w:bottom w:val="none" w:sz="0" w:space="0" w:color="auto"/>
        <w:right w:val="none" w:sz="0" w:space="0" w:color="auto"/>
      </w:divBdr>
    </w:div>
    <w:div w:id="951208722">
      <w:bodyDiv w:val="1"/>
      <w:marLeft w:val="0"/>
      <w:marRight w:val="0"/>
      <w:marTop w:val="0"/>
      <w:marBottom w:val="0"/>
      <w:divBdr>
        <w:top w:val="none" w:sz="0" w:space="0" w:color="auto"/>
        <w:left w:val="none" w:sz="0" w:space="0" w:color="auto"/>
        <w:bottom w:val="none" w:sz="0" w:space="0" w:color="auto"/>
        <w:right w:val="none" w:sz="0" w:space="0" w:color="auto"/>
      </w:divBdr>
    </w:div>
    <w:div w:id="981470342">
      <w:bodyDiv w:val="1"/>
      <w:marLeft w:val="0"/>
      <w:marRight w:val="0"/>
      <w:marTop w:val="0"/>
      <w:marBottom w:val="0"/>
      <w:divBdr>
        <w:top w:val="none" w:sz="0" w:space="0" w:color="auto"/>
        <w:left w:val="none" w:sz="0" w:space="0" w:color="auto"/>
        <w:bottom w:val="none" w:sz="0" w:space="0" w:color="auto"/>
        <w:right w:val="none" w:sz="0" w:space="0" w:color="auto"/>
      </w:divBdr>
    </w:div>
    <w:div w:id="1078408999">
      <w:bodyDiv w:val="1"/>
      <w:marLeft w:val="0"/>
      <w:marRight w:val="0"/>
      <w:marTop w:val="0"/>
      <w:marBottom w:val="0"/>
      <w:divBdr>
        <w:top w:val="none" w:sz="0" w:space="0" w:color="auto"/>
        <w:left w:val="none" w:sz="0" w:space="0" w:color="auto"/>
        <w:bottom w:val="none" w:sz="0" w:space="0" w:color="auto"/>
        <w:right w:val="none" w:sz="0" w:space="0" w:color="auto"/>
      </w:divBdr>
    </w:div>
    <w:div w:id="1091966875">
      <w:bodyDiv w:val="1"/>
      <w:marLeft w:val="0"/>
      <w:marRight w:val="0"/>
      <w:marTop w:val="0"/>
      <w:marBottom w:val="0"/>
      <w:divBdr>
        <w:top w:val="none" w:sz="0" w:space="0" w:color="auto"/>
        <w:left w:val="none" w:sz="0" w:space="0" w:color="auto"/>
        <w:bottom w:val="none" w:sz="0" w:space="0" w:color="auto"/>
        <w:right w:val="none" w:sz="0" w:space="0" w:color="auto"/>
      </w:divBdr>
    </w:div>
    <w:div w:id="1163619962">
      <w:bodyDiv w:val="1"/>
      <w:marLeft w:val="0"/>
      <w:marRight w:val="0"/>
      <w:marTop w:val="0"/>
      <w:marBottom w:val="0"/>
      <w:divBdr>
        <w:top w:val="none" w:sz="0" w:space="0" w:color="auto"/>
        <w:left w:val="none" w:sz="0" w:space="0" w:color="auto"/>
        <w:bottom w:val="none" w:sz="0" w:space="0" w:color="auto"/>
        <w:right w:val="none" w:sz="0" w:space="0" w:color="auto"/>
      </w:divBdr>
    </w:div>
    <w:div w:id="1230724469">
      <w:bodyDiv w:val="1"/>
      <w:marLeft w:val="0"/>
      <w:marRight w:val="0"/>
      <w:marTop w:val="0"/>
      <w:marBottom w:val="0"/>
      <w:divBdr>
        <w:top w:val="none" w:sz="0" w:space="0" w:color="auto"/>
        <w:left w:val="none" w:sz="0" w:space="0" w:color="auto"/>
        <w:bottom w:val="none" w:sz="0" w:space="0" w:color="auto"/>
        <w:right w:val="none" w:sz="0" w:space="0" w:color="auto"/>
      </w:divBdr>
    </w:div>
    <w:div w:id="1247031192">
      <w:bodyDiv w:val="1"/>
      <w:marLeft w:val="0"/>
      <w:marRight w:val="0"/>
      <w:marTop w:val="0"/>
      <w:marBottom w:val="0"/>
      <w:divBdr>
        <w:top w:val="none" w:sz="0" w:space="0" w:color="auto"/>
        <w:left w:val="none" w:sz="0" w:space="0" w:color="auto"/>
        <w:bottom w:val="none" w:sz="0" w:space="0" w:color="auto"/>
        <w:right w:val="none" w:sz="0" w:space="0" w:color="auto"/>
      </w:divBdr>
    </w:div>
    <w:div w:id="1331132300">
      <w:bodyDiv w:val="1"/>
      <w:marLeft w:val="0"/>
      <w:marRight w:val="0"/>
      <w:marTop w:val="0"/>
      <w:marBottom w:val="0"/>
      <w:divBdr>
        <w:top w:val="none" w:sz="0" w:space="0" w:color="auto"/>
        <w:left w:val="none" w:sz="0" w:space="0" w:color="auto"/>
        <w:bottom w:val="none" w:sz="0" w:space="0" w:color="auto"/>
        <w:right w:val="none" w:sz="0" w:space="0" w:color="auto"/>
      </w:divBdr>
    </w:div>
    <w:div w:id="1347096567">
      <w:bodyDiv w:val="1"/>
      <w:marLeft w:val="0"/>
      <w:marRight w:val="0"/>
      <w:marTop w:val="0"/>
      <w:marBottom w:val="0"/>
      <w:divBdr>
        <w:top w:val="none" w:sz="0" w:space="0" w:color="auto"/>
        <w:left w:val="none" w:sz="0" w:space="0" w:color="auto"/>
        <w:bottom w:val="none" w:sz="0" w:space="0" w:color="auto"/>
        <w:right w:val="none" w:sz="0" w:space="0" w:color="auto"/>
      </w:divBdr>
    </w:div>
    <w:div w:id="1422799587">
      <w:bodyDiv w:val="1"/>
      <w:marLeft w:val="0"/>
      <w:marRight w:val="0"/>
      <w:marTop w:val="0"/>
      <w:marBottom w:val="0"/>
      <w:divBdr>
        <w:top w:val="none" w:sz="0" w:space="0" w:color="auto"/>
        <w:left w:val="none" w:sz="0" w:space="0" w:color="auto"/>
        <w:bottom w:val="none" w:sz="0" w:space="0" w:color="auto"/>
        <w:right w:val="none" w:sz="0" w:space="0" w:color="auto"/>
      </w:divBdr>
    </w:div>
    <w:div w:id="1463619361">
      <w:bodyDiv w:val="1"/>
      <w:marLeft w:val="0"/>
      <w:marRight w:val="0"/>
      <w:marTop w:val="0"/>
      <w:marBottom w:val="0"/>
      <w:divBdr>
        <w:top w:val="none" w:sz="0" w:space="0" w:color="auto"/>
        <w:left w:val="none" w:sz="0" w:space="0" w:color="auto"/>
        <w:bottom w:val="none" w:sz="0" w:space="0" w:color="auto"/>
        <w:right w:val="none" w:sz="0" w:space="0" w:color="auto"/>
      </w:divBdr>
    </w:div>
    <w:div w:id="1542088197">
      <w:bodyDiv w:val="1"/>
      <w:marLeft w:val="0"/>
      <w:marRight w:val="0"/>
      <w:marTop w:val="0"/>
      <w:marBottom w:val="0"/>
      <w:divBdr>
        <w:top w:val="none" w:sz="0" w:space="0" w:color="auto"/>
        <w:left w:val="none" w:sz="0" w:space="0" w:color="auto"/>
        <w:bottom w:val="none" w:sz="0" w:space="0" w:color="auto"/>
        <w:right w:val="none" w:sz="0" w:space="0" w:color="auto"/>
      </w:divBdr>
    </w:div>
    <w:div w:id="1554123751">
      <w:bodyDiv w:val="1"/>
      <w:marLeft w:val="0"/>
      <w:marRight w:val="0"/>
      <w:marTop w:val="0"/>
      <w:marBottom w:val="0"/>
      <w:divBdr>
        <w:top w:val="none" w:sz="0" w:space="0" w:color="auto"/>
        <w:left w:val="none" w:sz="0" w:space="0" w:color="auto"/>
        <w:bottom w:val="none" w:sz="0" w:space="0" w:color="auto"/>
        <w:right w:val="none" w:sz="0" w:space="0" w:color="auto"/>
      </w:divBdr>
    </w:div>
    <w:div w:id="1584953889">
      <w:bodyDiv w:val="1"/>
      <w:marLeft w:val="0"/>
      <w:marRight w:val="0"/>
      <w:marTop w:val="0"/>
      <w:marBottom w:val="0"/>
      <w:divBdr>
        <w:top w:val="none" w:sz="0" w:space="0" w:color="auto"/>
        <w:left w:val="none" w:sz="0" w:space="0" w:color="auto"/>
        <w:bottom w:val="none" w:sz="0" w:space="0" w:color="auto"/>
        <w:right w:val="none" w:sz="0" w:space="0" w:color="auto"/>
      </w:divBdr>
    </w:div>
    <w:div w:id="1594822510">
      <w:bodyDiv w:val="1"/>
      <w:marLeft w:val="0"/>
      <w:marRight w:val="0"/>
      <w:marTop w:val="0"/>
      <w:marBottom w:val="0"/>
      <w:divBdr>
        <w:top w:val="none" w:sz="0" w:space="0" w:color="auto"/>
        <w:left w:val="none" w:sz="0" w:space="0" w:color="auto"/>
        <w:bottom w:val="none" w:sz="0" w:space="0" w:color="auto"/>
        <w:right w:val="none" w:sz="0" w:space="0" w:color="auto"/>
      </w:divBdr>
    </w:div>
    <w:div w:id="1638411189">
      <w:bodyDiv w:val="1"/>
      <w:marLeft w:val="0"/>
      <w:marRight w:val="0"/>
      <w:marTop w:val="0"/>
      <w:marBottom w:val="0"/>
      <w:divBdr>
        <w:top w:val="none" w:sz="0" w:space="0" w:color="auto"/>
        <w:left w:val="none" w:sz="0" w:space="0" w:color="auto"/>
        <w:bottom w:val="none" w:sz="0" w:space="0" w:color="auto"/>
        <w:right w:val="none" w:sz="0" w:space="0" w:color="auto"/>
      </w:divBdr>
    </w:div>
    <w:div w:id="1659840480">
      <w:bodyDiv w:val="1"/>
      <w:marLeft w:val="0"/>
      <w:marRight w:val="0"/>
      <w:marTop w:val="0"/>
      <w:marBottom w:val="0"/>
      <w:divBdr>
        <w:top w:val="none" w:sz="0" w:space="0" w:color="auto"/>
        <w:left w:val="none" w:sz="0" w:space="0" w:color="auto"/>
        <w:bottom w:val="none" w:sz="0" w:space="0" w:color="auto"/>
        <w:right w:val="none" w:sz="0" w:space="0" w:color="auto"/>
      </w:divBdr>
    </w:div>
    <w:div w:id="1700203618">
      <w:bodyDiv w:val="1"/>
      <w:marLeft w:val="0"/>
      <w:marRight w:val="0"/>
      <w:marTop w:val="0"/>
      <w:marBottom w:val="0"/>
      <w:divBdr>
        <w:top w:val="none" w:sz="0" w:space="0" w:color="auto"/>
        <w:left w:val="none" w:sz="0" w:space="0" w:color="auto"/>
        <w:bottom w:val="none" w:sz="0" w:space="0" w:color="auto"/>
        <w:right w:val="none" w:sz="0" w:space="0" w:color="auto"/>
      </w:divBdr>
    </w:div>
    <w:div w:id="1703676027">
      <w:bodyDiv w:val="1"/>
      <w:marLeft w:val="0"/>
      <w:marRight w:val="0"/>
      <w:marTop w:val="0"/>
      <w:marBottom w:val="0"/>
      <w:divBdr>
        <w:top w:val="none" w:sz="0" w:space="0" w:color="auto"/>
        <w:left w:val="none" w:sz="0" w:space="0" w:color="auto"/>
        <w:bottom w:val="none" w:sz="0" w:space="0" w:color="auto"/>
        <w:right w:val="none" w:sz="0" w:space="0" w:color="auto"/>
      </w:divBdr>
      <w:divsChild>
        <w:div w:id="1054961604">
          <w:marLeft w:val="0"/>
          <w:marRight w:val="0"/>
          <w:marTop w:val="0"/>
          <w:marBottom w:val="0"/>
          <w:divBdr>
            <w:top w:val="none" w:sz="0" w:space="0" w:color="auto"/>
            <w:left w:val="none" w:sz="0" w:space="0" w:color="auto"/>
            <w:bottom w:val="none" w:sz="0" w:space="0" w:color="auto"/>
            <w:right w:val="none" w:sz="0" w:space="0" w:color="auto"/>
          </w:divBdr>
          <w:divsChild>
            <w:div w:id="1158689527">
              <w:marLeft w:val="0"/>
              <w:marRight w:val="0"/>
              <w:marTop w:val="0"/>
              <w:marBottom w:val="0"/>
              <w:divBdr>
                <w:top w:val="none" w:sz="0" w:space="0" w:color="auto"/>
                <w:left w:val="none" w:sz="0" w:space="0" w:color="auto"/>
                <w:bottom w:val="none" w:sz="0" w:space="0" w:color="auto"/>
                <w:right w:val="none" w:sz="0" w:space="0" w:color="auto"/>
              </w:divBdr>
              <w:divsChild>
                <w:div w:id="783158488">
                  <w:marLeft w:val="0"/>
                  <w:marRight w:val="0"/>
                  <w:marTop w:val="0"/>
                  <w:marBottom w:val="0"/>
                  <w:divBdr>
                    <w:top w:val="none" w:sz="0" w:space="0" w:color="auto"/>
                    <w:left w:val="none" w:sz="0" w:space="0" w:color="auto"/>
                    <w:bottom w:val="none" w:sz="0" w:space="0" w:color="auto"/>
                    <w:right w:val="none" w:sz="0" w:space="0" w:color="auto"/>
                  </w:divBdr>
                  <w:divsChild>
                    <w:div w:id="95294386">
                      <w:marLeft w:val="0"/>
                      <w:marRight w:val="0"/>
                      <w:marTop w:val="0"/>
                      <w:marBottom w:val="0"/>
                      <w:divBdr>
                        <w:top w:val="none" w:sz="0" w:space="0" w:color="auto"/>
                        <w:left w:val="none" w:sz="0" w:space="0" w:color="auto"/>
                        <w:bottom w:val="none" w:sz="0" w:space="0" w:color="auto"/>
                        <w:right w:val="none" w:sz="0" w:space="0" w:color="auto"/>
                      </w:divBdr>
                      <w:divsChild>
                        <w:div w:id="1793595157">
                          <w:marLeft w:val="0"/>
                          <w:marRight w:val="0"/>
                          <w:marTop w:val="0"/>
                          <w:marBottom w:val="0"/>
                          <w:divBdr>
                            <w:top w:val="none" w:sz="0" w:space="0" w:color="auto"/>
                            <w:left w:val="none" w:sz="0" w:space="0" w:color="auto"/>
                            <w:bottom w:val="none" w:sz="0" w:space="0" w:color="auto"/>
                            <w:right w:val="none" w:sz="0" w:space="0" w:color="auto"/>
                          </w:divBdr>
                          <w:divsChild>
                            <w:div w:id="1555121496">
                              <w:marLeft w:val="0"/>
                              <w:marRight w:val="0"/>
                              <w:marTop w:val="0"/>
                              <w:marBottom w:val="0"/>
                              <w:divBdr>
                                <w:top w:val="none" w:sz="0" w:space="0" w:color="auto"/>
                                <w:left w:val="none" w:sz="0" w:space="0" w:color="auto"/>
                                <w:bottom w:val="none" w:sz="0" w:space="0" w:color="auto"/>
                                <w:right w:val="none" w:sz="0" w:space="0" w:color="auto"/>
                              </w:divBdr>
                              <w:divsChild>
                                <w:div w:id="1286542533">
                                  <w:marLeft w:val="0"/>
                                  <w:marRight w:val="0"/>
                                  <w:marTop w:val="0"/>
                                  <w:marBottom w:val="0"/>
                                  <w:divBdr>
                                    <w:top w:val="none" w:sz="0" w:space="0" w:color="auto"/>
                                    <w:left w:val="none" w:sz="0" w:space="0" w:color="auto"/>
                                    <w:bottom w:val="none" w:sz="0" w:space="0" w:color="auto"/>
                                    <w:right w:val="none" w:sz="0" w:space="0" w:color="auto"/>
                                  </w:divBdr>
                                  <w:divsChild>
                                    <w:div w:id="20852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529376">
          <w:marLeft w:val="0"/>
          <w:marRight w:val="0"/>
          <w:marTop w:val="0"/>
          <w:marBottom w:val="0"/>
          <w:divBdr>
            <w:top w:val="none" w:sz="0" w:space="0" w:color="auto"/>
            <w:left w:val="none" w:sz="0" w:space="0" w:color="auto"/>
            <w:bottom w:val="none" w:sz="0" w:space="0" w:color="auto"/>
            <w:right w:val="none" w:sz="0" w:space="0" w:color="auto"/>
          </w:divBdr>
          <w:divsChild>
            <w:div w:id="833378985">
              <w:marLeft w:val="0"/>
              <w:marRight w:val="0"/>
              <w:marTop w:val="0"/>
              <w:marBottom w:val="0"/>
              <w:divBdr>
                <w:top w:val="none" w:sz="0" w:space="0" w:color="auto"/>
                <w:left w:val="none" w:sz="0" w:space="0" w:color="auto"/>
                <w:bottom w:val="none" w:sz="0" w:space="0" w:color="auto"/>
                <w:right w:val="none" w:sz="0" w:space="0" w:color="auto"/>
              </w:divBdr>
              <w:divsChild>
                <w:div w:id="1173882735">
                  <w:marLeft w:val="0"/>
                  <w:marRight w:val="0"/>
                  <w:marTop w:val="0"/>
                  <w:marBottom w:val="0"/>
                  <w:divBdr>
                    <w:top w:val="none" w:sz="0" w:space="0" w:color="auto"/>
                    <w:left w:val="none" w:sz="0" w:space="0" w:color="auto"/>
                    <w:bottom w:val="none" w:sz="0" w:space="0" w:color="auto"/>
                    <w:right w:val="none" w:sz="0" w:space="0" w:color="auto"/>
                  </w:divBdr>
                  <w:divsChild>
                    <w:div w:id="1981037140">
                      <w:marLeft w:val="0"/>
                      <w:marRight w:val="0"/>
                      <w:marTop w:val="0"/>
                      <w:marBottom w:val="0"/>
                      <w:divBdr>
                        <w:top w:val="none" w:sz="0" w:space="0" w:color="auto"/>
                        <w:left w:val="none" w:sz="0" w:space="0" w:color="auto"/>
                        <w:bottom w:val="none" w:sz="0" w:space="0" w:color="auto"/>
                        <w:right w:val="none" w:sz="0" w:space="0" w:color="auto"/>
                      </w:divBdr>
                      <w:divsChild>
                        <w:div w:id="1914125686">
                          <w:marLeft w:val="0"/>
                          <w:marRight w:val="0"/>
                          <w:marTop w:val="0"/>
                          <w:marBottom w:val="0"/>
                          <w:divBdr>
                            <w:top w:val="none" w:sz="0" w:space="0" w:color="auto"/>
                            <w:left w:val="none" w:sz="0" w:space="0" w:color="auto"/>
                            <w:bottom w:val="none" w:sz="0" w:space="0" w:color="auto"/>
                            <w:right w:val="none" w:sz="0" w:space="0" w:color="auto"/>
                          </w:divBdr>
                          <w:divsChild>
                            <w:div w:id="228075319">
                              <w:marLeft w:val="0"/>
                              <w:marRight w:val="0"/>
                              <w:marTop w:val="0"/>
                              <w:marBottom w:val="0"/>
                              <w:divBdr>
                                <w:top w:val="none" w:sz="0" w:space="0" w:color="auto"/>
                                <w:left w:val="none" w:sz="0" w:space="0" w:color="auto"/>
                                <w:bottom w:val="none" w:sz="0" w:space="0" w:color="auto"/>
                                <w:right w:val="none" w:sz="0" w:space="0" w:color="auto"/>
                              </w:divBdr>
                              <w:divsChild>
                                <w:div w:id="1064333500">
                                  <w:marLeft w:val="0"/>
                                  <w:marRight w:val="0"/>
                                  <w:marTop w:val="0"/>
                                  <w:marBottom w:val="0"/>
                                  <w:divBdr>
                                    <w:top w:val="none" w:sz="0" w:space="0" w:color="auto"/>
                                    <w:left w:val="none" w:sz="0" w:space="0" w:color="auto"/>
                                    <w:bottom w:val="none" w:sz="0" w:space="0" w:color="auto"/>
                                    <w:right w:val="none" w:sz="0" w:space="0" w:color="auto"/>
                                  </w:divBdr>
                                  <w:divsChild>
                                    <w:div w:id="1287852475">
                                      <w:marLeft w:val="0"/>
                                      <w:marRight w:val="0"/>
                                      <w:marTop w:val="0"/>
                                      <w:marBottom w:val="0"/>
                                      <w:divBdr>
                                        <w:top w:val="none" w:sz="0" w:space="0" w:color="auto"/>
                                        <w:left w:val="none" w:sz="0" w:space="0" w:color="auto"/>
                                        <w:bottom w:val="none" w:sz="0" w:space="0" w:color="auto"/>
                                        <w:right w:val="none" w:sz="0" w:space="0" w:color="auto"/>
                                      </w:divBdr>
                                      <w:divsChild>
                                        <w:div w:id="2009944899">
                                          <w:marLeft w:val="0"/>
                                          <w:marRight w:val="0"/>
                                          <w:marTop w:val="0"/>
                                          <w:marBottom w:val="0"/>
                                          <w:divBdr>
                                            <w:top w:val="none" w:sz="0" w:space="0" w:color="auto"/>
                                            <w:left w:val="none" w:sz="0" w:space="0" w:color="auto"/>
                                            <w:bottom w:val="none" w:sz="0" w:space="0" w:color="auto"/>
                                            <w:right w:val="none" w:sz="0" w:space="0" w:color="auto"/>
                                          </w:divBdr>
                                          <w:divsChild>
                                            <w:div w:id="1837303481">
                                              <w:marLeft w:val="0"/>
                                              <w:marRight w:val="0"/>
                                              <w:marTop w:val="0"/>
                                              <w:marBottom w:val="0"/>
                                              <w:divBdr>
                                                <w:top w:val="none" w:sz="0" w:space="0" w:color="auto"/>
                                                <w:left w:val="none" w:sz="0" w:space="0" w:color="auto"/>
                                                <w:bottom w:val="none" w:sz="0" w:space="0" w:color="auto"/>
                                                <w:right w:val="none" w:sz="0" w:space="0" w:color="auto"/>
                                              </w:divBdr>
                                              <w:divsChild>
                                                <w:div w:id="1764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437634">
      <w:bodyDiv w:val="1"/>
      <w:marLeft w:val="0"/>
      <w:marRight w:val="0"/>
      <w:marTop w:val="0"/>
      <w:marBottom w:val="0"/>
      <w:divBdr>
        <w:top w:val="none" w:sz="0" w:space="0" w:color="auto"/>
        <w:left w:val="none" w:sz="0" w:space="0" w:color="auto"/>
        <w:bottom w:val="none" w:sz="0" w:space="0" w:color="auto"/>
        <w:right w:val="none" w:sz="0" w:space="0" w:color="auto"/>
      </w:divBdr>
    </w:div>
    <w:div w:id="1785884171">
      <w:bodyDiv w:val="1"/>
      <w:marLeft w:val="0"/>
      <w:marRight w:val="0"/>
      <w:marTop w:val="0"/>
      <w:marBottom w:val="0"/>
      <w:divBdr>
        <w:top w:val="none" w:sz="0" w:space="0" w:color="auto"/>
        <w:left w:val="none" w:sz="0" w:space="0" w:color="auto"/>
        <w:bottom w:val="none" w:sz="0" w:space="0" w:color="auto"/>
        <w:right w:val="none" w:sz="0" w:space="0" w:color="auto"/>
      </w:divBdr>
    </w:div>
    <w:div w:id="1790928285">
      <w:bodyDiv w:val="1"/>
      <w:marLeft w:val="0"/>
      <w:marRight w:val="0"/>
      <w:marTop w:val="0"/>
      <w:marBottom w:val="0"/>
      <w:divBdr>
        <w:top w:val="none" w:sz="0" w:space="0" w:color="auto"/>
        <w:left w:val="none" w:sz="0" w:space="0" w:color="auto"/>
        <w:bottom w:val="none" w:sz="0" w:space="0" w:color="auto"/>
        <w:right w:val="none" w:sz="0" w:space="0" w:color="auto"/>
      </w:divBdr>
    </w:div>
    <w:div w:id="1875842781">
      <w:bodyDiv w:val="1"/>
      <w:marLeft w:val="0"/>
      <w:marRight w:val="0"/>
      <w:marTop w:val="0"/>
      <w:marBottom w:val="0"/>
      <w:divBdr>
        <w:top w:val="none" w:sz="0" w:space="0" w:color="auto"/>
        <w:left w:val="none" w:sz="0" w:space="0" w:color="auto"/>
        <w:bottom w:val="none" w:sz="0" w:space="0" w:color="auto"/>
        <w:right w:val="none" w:sz="0" w:space="0" w:color="auto"/>
      </w:divBdr>
    </w:div>
    <w:div w:id="1958175229">
      <w:bodyDiv w:val="1"/>
      <w:marLeft w:val="0"/>
      <w:marRight w:val="0"/>
      <w:marTop w:val="0"/>
      <w:marBottom w:val="0"/>
      <w:divBdr>
        <w:top w:val="none" w:sz="0" w:space="0" w:color="auto"/>
        <w:left w:val="none" w:sz="0" w:space="0" w:color="auto"/>
        <w:bottom w:val="none" w:sz="0" w:space="0" w:color="auto"/>
        <w:right w:val="none" w:sz="0" w:space="0" w:color="auto"/>
      </w:divBdr>
    </w:div>
    <w:div w:id="2119248608">
      <w:bodyDiv w:val="1"/>
      <w:marLeft w:val="0"/>
      <w:marRight w:val="0"/>
      <w:marTop w:val="0"/>
      <w:marBottom w:val="0"/>
      <w:divBdr>
        <w:top w:val="none" w:sz="0" w:space="0" w:color="auto"/>
        <w:left w:val="none" w:sz="0" w:space="0" w:color="auto"/>
        <w:bottom w:val="none" w:sz="0" w:space="0" w:color="auto"/>
        <w:right w:val="none" w:sz="0" w:space="0" w:color="auto"/>
      </w:divBdr>
    </w:div>
    <w:div w:id="21442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rantrucvien@qnu.edu.vn" TargetMode="External"/><Relationship Id="rId11" Type="http://schemas.openxmlformats.org/officeDocument/2006/relationships/hyperlink" Target="mailto:phamtrantrucvien@qnu.edu.vn" TargetMode="External"/><Relationship Id="rId5" Type="http://schemas.openxmlformats.org/officeDocument/2006/relationships/webSettings" Target="webSettings.xml"/><Relationship Id="rId10" Type="http://schemas.openxmlformats.org/officeDocument/2006/relationships/hyperlink" Target="https://gialai.gov.vn" TargetMode="External"/><Relationship Id="rId4" Type="http://schemas.openxmlformats.org/officeDocument/2006/relationships/settings" Target="settings.xml"/><Relationship Id="rId9" Type="http://schemas.openxmlformats.org/officeDocument/2006/relationships/hyperlink" Target="https://nhanda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566CF-488A-4D0B-952A-A161FFF4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7694</Words>
  <Characters>43860</Characters>
  <Application>Microsoft Office Word</Application>
  <DocSecurity>0</DocSecurity>
  <Lines>365</Lines>
  <Paragraphs>102</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vt:lpstr>1. INTRODUCTION</vt:lpstr>
      <vt:lpstr>2. THEORETICAL BACKGROUND AND HYPOTHESES DEVELOPMENT</vt:lpstr>
      <vt:lpstr>    2.1. Memorable Tourism Experiences</vt:lpstr>
      <vt:lpstr>    2.2. Place Attachment</vt:lpstr>
      <vt:lpstr>    2.3. Green Behavioural Intentions</vt:lpstr>
      <vt:lpstr>    2.4. Stimulus–Organism–Response (S–O–R) Theoretical Foundation</vt:lpstr>
      <vt:lpstr>    2.5. Hypotheses Development</vt:lpstr>
      <vt:lpstr>        2.5.1. MTE Dimensions and Place Attachment</vt:lpstr>
      <vt:lpstr>        2.5.2. Place Attachment and Green Behavioural Intentions</vt:lpstr>
      <vt:lpstr>3. METHODOLOGY</vt:lpstr>
      <vt:lpstr>    3.1. Research context</vt:lpstr>
      <vt:lpstr>    3.2. Data collection and analysis</vt:lpstr>
      <vt:lpstr>4. RESULTS</vt:lpstr>
      <vt:lpstr>    4.1. Demographic characteristics </vt:lpstr>
      <vt:lpstr>    </vt:lpstr>
      <vt:lpstr>    4.2. Outliers, Normality, and Reliability Analysis</vt:lpstr>
      <vt:lpstr>    4.3. Exploratory Factor Analysis (EFA)</vt:lpstr>
      <vt:lpstr>    4.4. Measurement model</vt:lpstr>
      <vt:lpstr>    </vt:lpstr>
      <vt:lpstr>    4.5. Structural model and Hypothesis testing</vt:lpstr>
      <vt:lpstr/>
      <vt:lpstr>5. DISCUSSION</vt:lpstr>
      <vt:lpstr>    6. CONCLUSION</vt:lpstr>
      <vt:lpstr>    DECLARATION OF CONFLICTS OF INTEREST</vt:lpstr>
      <vt:lpstr>ACKNOWLEDGMENTS</vt:lpstr>
      <vt:lpstr>REFERENCES</vt:lpstr>
    </vt:vector>
  </TitlesOfParts>
  <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cp:revision>
  <dcterms:created xsi:type="dcterms:W3CDTF">2026-03-18T01:06:00Z</dcterms:created>
  <dcterms:modified xsi:type="dcterms:W3CDTF">2026-03-18T01:06:00Z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84ac88f5-d6fb-4d12-8029-f8414978a33e</vt:lpwstr>
  </property>
</Properties>
</file>